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506/2017 vom 4. Januar 2018</w:t>
      </w:r>
    </w:p>
    <w:p>
      <w:r>
        <w:t>Bundesgericht, 2018-01-04, FR</w:t>
      </w:r>
    </w:p>
    <w:p>
      <w:r>
        <w:rPr>
          <w:b/>
        </w:rPr>
        <w:t xml:space="preserve">Quelle: </w:t>
      </w:r>
      <w:r>
        <w:t>https://mcp.opencaselaw.ch/entscheid/bger_1C_506_2017</w:t>
      </w:r>
    </w:p>
    <w:p>
      <w:r>
        <w:t>FR: TF 1C 506/2017 du 4 janvier 2018</w:t>
      </w:r>
    </w:p>
    <w:p>
      <w:r>
        <w:t>IT: TF 1C 506/2017 del 4 gennaio 2018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dans le domaine du droit public des constructions, le recours est en principe recevable comme recours en matière de droit public selon les art. 82 ss LTF , aucune des exceptions prévues à l' art. 83 LTF n'étant réalisée. Les recourants ont pris part à la procédure de recours devant l'instance précédente. Ils sont en outre particulièrement touchés par l'autorisation de construire une remise de jardin sur la parcelle de leurs voisins, construction qu'ils tiennent pour contraire au droit. Ils peuvent donc se prévaloir d'un intérêt personnel et digne de protection à l'annulation de l'arrêt cantonal qui confirme cette décision. Ils ont dès lors qualité pour agir au sens de l' art. 89 al. 1 LTF . Le recours a au surplus été formé en temps utile contre une décision finale prise en dernière instance cantonale. Il convient de relever que les recourants n'ont pris que des conclusions en renvoi, alors que le Tribunal fédéral a un pouvoir général de réforme ( art. 107 al. 2 LTF ). Il leur aurait été pourtant facile de conclure à l'annulation de l'autorisation de construire qu'ils tiennent pour contraire au droit. Sous l'angle de la LTF, les présentes conclusions en renvoi sont toutefois exceptionnellement admissibles, dès lors que, comme les recourants soulèvent des griefs formels, le Tribunal fédéral, s'il leur donnait gain de cause, se verrait tenu de renvoyer l'affaire devant l'instance cantonale pour qu'elle statue à nouveau (cf. ATF 137 II 313 consid. 1.3 p. 317; arrêt 9C_612/2016 du 16 mai 2017 consid. 2.1.1 non publié à l' ATF 143 V 219 ).</w:t>
      </w:r>
    </w:p>
    <w:p>
      <w:r>
        <w:rPr>
          <w:b/>
        </w:rPr>
        <w:t>E. 2</w:t>
      </w:r>
    </w:p>
    <w:p>
      <w:r>
        <w:t>Dans l'arrêt attaqué, la cour cantonale a constaté que le projet de remise de jardin est un ouvrage en briques accolé au couvert à voiture existant; les volumes de ces deux constructions sont distincts l'un de l'autre; un espace les sépare, lequel est abrité par la toiture de la remise de jardin qui rejoint à cet endroit celle du couvert à voiture; en outre, un mur cloisonne cet espace du côté ouest; ce mur relie perpendiculairement la façade sud du couvert à la façade nord de la remise. Toujours à teneur de l'arrêt attaqué, tandis que le couvert à voiture se trouve à une distance de 2 mètres de la limite de propriété, l'ouvrage projeté respecte la distance minimale imposée par le droit communal, soit 3 mètres de la façade ouest à la limite. Il ressort en effet des constatations cantonales fondées sur les plans que la construction de la remise est décalée vers l'est par rapport au couvert existant. Dans ces conditions, la cour cantonale a validé l'appréciation de l'autorité précédente selon laquelle l'ouvrage projeté respectait la distance de 3 mètres à la limite de propriété et n'aggravait pas la situation illégale du couvert à voiture existant.</w:t>
      </w:r>
    </w:p>
    <w:p>
      <w:r>
        <w:rPr>
          <w:b/>
        </w:rPr>
        <w:t>E. 3</w:t>
      </w:r>
    </w:p>
    <w:p>
      <w:r>
        <w:t>Devant le Tribunal fédéral, les recourants reprochent à la cour cantonale de ne pas avoir produit le dossier communal relatif au couvert à voiture. Ils soutiennent, sans démontrer en quoi leur droit d'être entendu aurait été violé (cf. art. 106 al. 2 LTF ), que ces documents leur auraient permis d'établir qu'il existe " la possibilité d'un passage direct " du couvert à l'abri de jardin ainsi qu'un " non cloisonnement entre ces deux constructions ". Se fondant sur des photographies, ils prétendent en effet que l'affirmation de la Commune selon laquelle il n'était pas possible de passer directement de l'un à l'autre est contraire à la réalité. Ce faisant, les recourants se limitent à opposer leur propre appréciation des faits à celle de la cour cantonale. Or si les recourants entendent s'écarter des constatations de fait de l'autorité précédente, il leur appartient d'expliquer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 Tant la lecture de l'arrêt attaqué que l'examen des plans du 10 septembre 2014 visés par la cour cantonale conduisent au résultat que le couvert à voiture et l'abri de jardin constituent deux volumes distincts, séparés l'un de l'autre par un espace couvert comportant à l'ouest un mur parallèle à la limite de propriété. Les recourants mentionnent certes, à l'occasion de leur réplique, avoir déposé, le 9 novembre 2017, une plainte et dénonciation pénale en rapport avec des plans établis le 27 février 2010 et prétendument faux. Il s'agit cependant là de faits nouveaux qui, pour autant qu'ils soient pertinents pour l'issue du litige, sont de toute manière irrecevables devant le Tribunal fédéral ( art. 99 al. 1 LTF ). Dans ces conditions, ce premier grief des recourants doit être rejeté, dans la mesure de sa recevabilité.</w:t>
      </w:r>
    </w:p>
    <w:p>
      <w:r>
        <w:rPr>
          <w:b/>
        </w:rPr>
        <w:t>E. 4</w:t>
      </w:r>
    </w:p>
    <w:p>
      <w:r>
        <w:t>Les recourants reprochent ensuite à la cour cantonale d'avoir fondé son arrêt sur la conformité de l'actuel couvert à voiture avec le droit. Ils y voient une extension illégale et arbitraire des droits acquis, alors que ceux-ci seraient inexistants. En particulier, ils exposent que le couvert existant n'est pas semblable à celui construit en 1985: sa surface serait supérieure - passant de 23 m 2 à 26 m 2 - et la pente du toit serait différente - passant de 16% à 30% - entraînant une augmentation illicite de gabarit. Ils rappellent en tout état que la construction du couvert en 1985 était illégale. A les suivre, il paraît hautement vraisemblable que le Tribunal cantonal, s'il avait été en possession de l'intégralité du dossier du couvert, aurait renvoyé le dossier au Conseil d'Etat ou à la Commune pour régularisation de l'ensemble des constructions projetées. L'objet de la contestation porté devant le Tribunal fédéral est déterminé par l'arrêt attaqué. L'objet du litige, délimité par les conclusions des parties ( art. 107 al. 1 LTF ) ne saurait s'étendre au-delà de l'objet de la contestation ( ATF 142 I 155 consid. 4.4.2 p. 156). La présente procédure vise à vérifier la régularité avec le droit communal de l'autorisation de construire une remise de jardin sur la parcelle des intimés. La question de la régularité de l'actuel couvert à voiture a pour sa part fait l'objet d'une précédente procédure qui s'est définitivement terminée devant le Tribunal fédéral par arrêt, déjà mentionné, du 7 septembre 2015. Dans la mesure où le présent litige est ainsi circonscrit à la conformité de la seule remise de jardin avec le droit communal, en particulier avec la distance à la limite de propriété, l'argumentation liée à la prétendue irrégularité du couvert à voiture s'étend au-delà de l'objet de la contestation: elle est donc, pour autant qu'elle soit recevable, dénuée de toute pertinence. Les recourants ne démontrent d'ailleurs pas en quoi la prétendue illégalité du couvert à voiture aurait une quelconque incidence sur l'application de normes de droit communal qui leur seraient favorables. Dans leurs écritures devant le Tribunal fédéral, ils mentionnent de manière générale certains concepts juridiques tels que les droits acquis ou le droit d'être entendu. Ils ne pointent en revanche aucune disposition de droit cantonal ou communal qui aurait été arbitrairement violée par la cour cantonale, alors qu'il leur appartient dans ce contexte de démontrer par une argumentation qui réponde aux exigences des art. 42 al. 2 et 106 al. 2 LTF que tel est le cas (cf. ATF 134 II 349 consid. 3 p. 351 s. et les références). Quant à la violation du droit d'être entendu, elle ne fait pas non plus l'objet d'une critique répondant aux exigences de l' art. 106 al. 2 LTF . Dans ces conditions, il n'y a pas lieu de renvoyer la cause aux instances précédentes pour régulariser l'ensemble des constructions projetées.</w:t>
      </w:r>
    </w:p>
    <w:p>
      <w:r>
        <w:rPr>
          <w:b/>
        </w:rPr>
        <w:t>E. 5</w:t>
      </w:r>
    </w:p>
    <w:p>
      <w:r>
        <w:t>Il s'ensuit que le recours est rejeté, dans la mesure de sa recevabilité. Les recourants, qui succombent, supportent solidairement les frais de la procédure ( art. 66 al. 1 LTF ). Les intimés, assistés par un mandataire professionnel, ont droit à une indemnité de dépens à la charge solidaire des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