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506/2011 vom 22. Februar 2012</w:t>
      </w:r>
    </w:p>
    <w:p>
      <w:r>
        <w:t>Bundesgericht, 2012-02-22, FR</w:t>
      </w:r>
    </w:p>
    <w:p>
      <w:r>
        <w:rPr>
          <w:b/>
        </w:rPr>
        <w:t xml:space="preserve">Quelle: </w:t>
      </w:r>
      <w:r>
        <w:t>https://mcp.opencaselaw.ch/entscheid/bger_1C_506_2011</w:t>
      </w:r>
    </w:p>
    <w:p>
      <w:r>
        <w:t>FR: TF 1C 506/2011 du 22 février 2012</w:t>
      </w:r>
    </w:p>
    <w:p>
      <w:r>
        <w:t>IT: TF 1C 506/2011 del 22 febbraio 2012</w:t>
      </w:r>
    </w:p>
    <w:p>
      <w:pPr>
        <w:pStyle w:val="Heading2"/>
      </w:pPr>
      <w:r>
        <w:t>Regeste</w:t>
      </w:r>
    </w:p>
    <w:p>
      <w:r>
        <w:t>permis de construire, autonomie communale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de Pully, qui invoque l'autonomie dont elle bénéficie en matière d'aménagement local du territoire, a ainsi qualité pour agir. La question de savoir si elle est réellement autonome dans ce domaine relève du fond ( ATF 135 I 43 consid. 1.2 p. 45 et les arrêts cités). Les autres conditions de recevabilité étant par ailleurs réunies, la voie du recours en matière de droit public est ouverte, ce qui entraîne l'irrecevabilité du recours constitutionnel subsidiaire ( art. 113 LTF ).</w:t>
      </w:r>
    </w:p>
    <w:p>
      <w:r>
        <w:rPr>
          <w:b/>
        </w:rPr>
        <w:t>E. 2</w:t>
      </w:r>
    </w:p>
    <w:p>
      <w:r>
        <w:t>Dans la première partie de son écriture, après avoir déclaré faire sien l'état de fait transcrit dans l'arrêt attaqué dans la mesure où il est corroboré par les pièces du dossier, la recourante présente certains éléments nouveaux. Elle perd cependant de vue que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La recourante se plaint d'une violation de son autonomie communale.</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 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1P.167/2003 consid. 3 publié in RDAF 2004 p. 114). Cela ressort en particulier de l'art. 2 al. 2 LATC, selon lequel l'Etat laisse aux communes la liberté d'appréciation nécessaire à l'accomplissement de leurs tâches. Le droit cantonal se borne ainsi à poser quelques règles sur l'esthétique, la solidité et la salubrité des constructions, sur la suppression des barrières architecturales et l'utilisation rationnelle de l'énergie (art. 86 à 102 LATC). En revanche, il ne contient aucune disposition sur la densité des constructions, en particulier sur le coefficient d'utilisation du sol, la hauteur et le nombre de niveaux admissibles. Ces domaines ressortissent au seul droit communal (arrêt 1P.167/2003 du 3 juillet 2003), de même que les dispositions sur l'esthétique des constructions.</w:t>
      </w:r>
    </w:p>
    <w:p>
      <w:r>
        <w:rPr>
          <w:b/>
        </w:rPr>
        <w:t>E. 3.2</w:t>
      </w:r>
    </w:p>
    <w:p>
      <w:r>
        <w:t>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L'alinéa 3 de cette disposition prévoit que les règlements communaux doivent contenir des dispositions en vue d'éviter l'enlaidissement des localités et de leurs abords. L'art. 32 RCATC permet à la Municipalité de prendre des dispositions exceptionnelles (notamment en application de l'art. 86 LATC) pour sauvegarder les qualités particulières d'un lieu ou pour tenir compte des situations acquises.</w:t>
      </w:r>
    </w:p>
    <w:p>
      <w:r>
        <w:rPr>
          <w:b/>
        </w:rPr>
        <w:t>E. 3.3</w:t>
      </w:r>
    </w:p>
    <w:p>
      <w:r>
        <w:t>Selon la jurisprudence,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1er février 1999, in RDAF 2000 I 288; ATF 115 Ia 363 consid. 3b p. 367, 370 consid. 3 p. 373 et les arrêts cités). L'application d'une clause d'esthétique ne doit pas aboutir à ce que, de façon générale, la réglementation sur les zones en vigueur soit vidée de sa substance. En droit vaudois, un projet de construction peut être interdit sur la base de l'art. 86 LATC quand bien même il satisferait à toutes les autres dispositions cantonales et communales en matière de police des constructions. Cependant, lorsqu'un plan de zones prévoit que des constructions d'un certain volume peuvent être édifiées dans tel secteur du territoire, une interdiction de construire fondée sur l'art. 86 LATC,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101 Ia 213 consid. 6c p. 222 s.; 115 Ia 114 consid. 3d p. 119). 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3.4</w:t>
      </w:r>
    </w:p>
    <w:p>
      <w:r>
        <w:t>Lorsqu'elle est reconnue autonome dans un domaine spécifique, une commune peut dénoncer tant les excès de compétence d'une autorité cantonale de recours que la violation par celle-ci des règles du droit fédéral, cantonal ou communal qui régissent la matière ( ATF 128 I 3 consid. 2b p. 9 et l'arrêt cité). Le Tribunal fédéral examine librement l'interprétation du droit constitutionnel; en revanche, il vérifie l'application de règles de rang inférieur à la constitution cantonale sous l'angle restreint de l'arbitraire ( art. 9 Cst. ; ATF 135 I 302 consid. 1.2 p. 305 et les arrêts cités).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rPr>
          <w:b/>
        </w:rPr>
        <w:t>E. 3.5</w:t>
      </w:r>
    </w:p>
    <w:p>
      <w:r>
        <w:t>En l'espèce, la commune reproche au Tribunal cantonal d'avoir réexaminé tous les critères qu'elle avait invoqués dans sa décision du 25 octobre 2010 sous l'angle de l'intégration et de l'esthétique en apportant son propre résultat, substituant ainsi son appréciation à celle de l'autorité communale. Elle estime que l'instance précédente a manqué de retenue dans l'appréciation de la situation de la parcelle (consid. 3.5.1), de l'implantation de l'immeuble (consid. 3.5.2), de l'accès au garage inférieur (consid. 3.5.3) et de l'esthétique du bâtiment (consid. 3.5.4).</w:t>
      </w:r>
    </w:p>
    <w:p>
      <w:r>
        <w:rPr>
          <w:b/>
        </w:rPr>
        <w:t>E. 3.5.1</w:t>
      </w:r>
    </w:p>
    <w:p>
      <w:r>
        <w:t>La Municipalité avait d'abord soutenu, dans sa décision du 25 octobre 2010, que la situation de la parcelle était exceptionnelle, remarquablement située sur l'avenue C.-F. Ramuz, bénéficiant d'une desserte optimale en transports publics, sise en deuxième rang lui permettant ainsi de ne pas être affectée par les nuisances sonores de ladite avenue et disposant d'un exceptionnel dégagement en contrebas au sud vers la forêt et la Vuachère. Après s'être rendu sur place, le Tribunal cantonal a considéré au contraire que le site ne présentait aucune qualité particulière. Il a relevé que le terrain litigieux et le bâtiment projeté n'étaient pas visibles depuis la route et que la parcelle était isolée des regards, à l'exception des passants du chemin du Pont du Diable au sud dont on ne saurait exagérer le nombre. L'absence de nuisances sonores, qui confère certes au site un caractère agréable, ne justifiait pas que l'on se montre plus exigeant en matière d'esthétique des constructions. Enfin, la parcelle bordée par un cordon boisé qui empêche d'apercevoir les constructions situées en contrebas et le lac Léman, ne disposait pas d'un dégagement en direction du sud. Par conséquent, il ne se justifiait pas de poser des exigences accrues en matière de qualité architecturale et d'intégration au site. Les constatations opérées par le Tribunal cantonal reposent sur des motifs objectifs et fondés. La Municipalité ne prétend d'ailleurs pas que ces constatations seraient fausses ou qu'elles conduiraient à une solution indéfendable. Partant, l'instance précédente n'a pas substitué son pouvoir d'appréciation à celui de l'autorité municipale, mais s'est contentée de sanctionner un excès du pouvoir d'appréciation de celle-ci.</w:t>
      </w:r>
    </w:p>
    <w:p>
      <w:r>
        <w:rPr>
          <w:b/>
        </w:rPr>
        <w:t>E. 3.5.2</w:t>
      </w:r>
    </w:p>
    <w:p>
      <w:r>
        <w:t>La Municipalité reproche ensuite au Tribunal cantonal d'avoir remis en cause l'analyse municipale concernant l'implantation de l'immeuble. Dans sa décision du 25 octobre 2010, elle avait considéré que l'orientation de ladite implantation ne respectait pas la courbe naturelle des niveaux et que sa position, en amont de la parcelle, rendait difficile l'aménagement de la partie nord de celle-ci. Le Tribunal cantonal a en revanche jugé que le bâtiment occupait la surface plane de la parcelle, comme le montrent les plans et comme il a pu le constater pendant l'inspection locale grâce aux gabarits posés. Cette solution évitait les mouvements de terrain excessifs. La situation légèrement en amont de l'immeuble - la distance entre la façade nord et la limite de propriété est de 10,68 m, contre environ 16 m du côté sud - permettait de dégager de la place du côté sud pour l'agrément des habitants, là où l'ensoleillement est meilleur. L'aménagement de la partie nord de la parcelle ne posait aucun problème majeur; il paraissait naturel que la constructrice ait choisi cette portion de terrain, moins intéressante, pour l'accès à l'immeuble et pour le stationnement. Enfin, l'orientation de l'immeuble était similaire à celles des bâtiments situés sur les parcelles adjacentes, au nord et à l'est. L'analyse bien motivée de l'instance précédente ne paraît pas déraisonnable. La commune n'expose d'ailleurs pas en quoi ce raisonnement serait arbitraire. Ainsi, le Tribunal cantonal pouvait retenir sans violer l'autonomie dont la commune dispose en la matière que, sis sur la partie plane de la parcelle, légèrement en amont, le projet litigieux épousait convenablement la forme du terrain et que son orientation, similaire à celle des autres bâtiments alentour, respectait les contraintes que posaient les différents axes de pente de la parcelle. Il pouvait en déduire que l'autorité communale avait abusé de son pouvoir d'appréciation en critiquant l'implantation de l'immeuble litigieux, laquelle est au demeurant conforme au plan général d'affectation des zones et au règlement communal.</w:t>
      </w:r>
    </w:p>
    <w:p>
      <w:r>
        <w:rPr>
          <w:b/>
        </w:rPr>
        <w:t>E. 3.5.3</w:t>
      </w:r>
    </w:p>
    <w:p>
      <w:r>
        <w:t>Dans sa décision du 25 octobre 2010, la Municipalité avait également critiqué l'accès au garage inférieur par une rampe, en courbe, qui formerait une "immense saignée dans le site, avec des talutages en biais", et qui impliquerait "des ouvrages de béton gigantesques". Elle avait aussi relevé que sa praticabilité en hiver semblait hasardeuse. Pour le Tribunal cantonal, l'ouvrage est certes important, mais il consiste presque uniquement en des déblais. Les murs de soutènement, situés de part et d'autre du virage ne dépassent que légèrement le niveau du terrain aménagé. Ainsi, le chemin d'accès et les éléments bâtis qu'il comporte ne seront que peu visibles aux alentours de la parcelle. Depuis le chemin du Pont du Diable situé en contrebas, auquel la Municipalité prête une attention particulière, la percée ne s'offrira pas au regard des promeneurs, vu la pente du terrain et la nature de l'ouvrage. Elle sera mieux perceptible depuis les parcelles n° 1'417, 1'420 et 1'433, mais il s'agit de biens-fonds privés, par définition fréquentés par quelques personnes seulement, qui ne sauraient être incommodées gravement par l'ouvrage litigieux. Par ailleurs, la rampe d'accès ne constitue pas plus une balafre dans le site que le mur de soutènement situé à l'est de la construction, en bordure des parcelles n° 1'420 et 1'433. Là encore, l'argumentation du Tribunal cantonal échappe à toute critique. C'est à bon droit qu'il a considéré que les aménagements extérieurs - importants s'agissant du chemin d'accès au garage inférieur - s'expliquaient par les contraintes réglementaires et la configuration des lieux, que leur impact visuel serait faible et que leur intégration au site - sans valeur particulière - ne posait pas de problème. Il pouvait en tirer la conclusion que l'autorité communale avait excédé son pouvoir d'appréciation en refusant le permis de construire pour ce motif. La Municipalité reproche encore au Tribunal cantonal d'avoir considéré que le grief lié à la difficulté d'utilisation de la rampe d'accès en hiver était retiré. Elle ne discute cependant pas le motif avancé par l'instance précédente pour procéder de la sorte. Faute de motivation, ce grief doit être déclaré irrecevable.</w:t>
      </w:r>
    </w:p>
    <w:p>
      <w:r>
        <w:rPr>
          <w:b/>
        </w:rPr>
        <w:t>E. 3.5.4</w:t>
      </w:r>
    </w:p>
    <w:p>
      <w:r>
        <w:t>Enfin, la recourante fait grief au Tribunal cantonal d'avoir réexaminé l'ensemble des "dispositions constructives de l'immeuble", sous l'angle de leur proportion, de leur disposition au sein de l'édifice, de leur nombre s'agissant des lucarnes et de "tout ce qui a trait à l'esthétique du bâtiment". Dans sa décision du 25 octobre 2010, elle avait déploré les "balcons maladroitement reliés au sol naturel", la présence de faux chaînages d'angles, les fenêtres aux proportions quelconques ainsi que les nombreuses et inélégantes lucarnes. Elle avait encore estimé que l'expression des façades et de la toiture était négligée. Le Tribunal cantonal a estimé au contraire que l'ouvrage litigieux ne posait pas de problème du point de vue de l'intégration. Le bâtiment présentait une architecture classique (construction de base rectangulaire, coiffée d'un toit à deux pans symétriques) et réglementaire qui ne se démarquait pas des immeubles voisins. Certes, il comportait quelques éléments (notamment les lucarnes et la jonction entre le chemin d'accès et le balcon est des combles) disgracieux, mais on ne pouvait pas considérer qu'il y avait là une utilisation déraisonnable et irrationnelle des possibilités de construire réglementaires à laquelle s'opposerait un intérêt public prépondérant (cf. exposé détaillé dans l'arrêt attaqué p. 10 et 11). A nouveau, le Tribunal cantonal n'a pas examiné de manière arbitraire l'application qu'a faite la commune de la clause d'esthétique. Il a d'ailleurs pris soin d'expliquer les raisons pour lesquelles il considérait que la construction projetée s'intégrait suffisamment, d'un point de vue esthétique, dans le quartier. Dans ces conditions, la recourante devait à tout le moins présenter des éléments concrets contredisant clairement l'appréciation de l'autorité précitée. Or, sans critiquer le raisonnement du Tribunal cantonal et sans contester que le projet ne porte atteinte à aucun intérêt public prépondérant, elle se borne pour l'essentiel à rappeler que l'instance précédente a procédé sans retenue, sans préciser en quoi consiste ce manque de retenue.</w:t>
      </w:r>
    </w:p>
    <w:p>
      <w:r>
        <w:rPr>
          <w:b/>
        </w:rPr>
        <w:t>E. 3.5.5</w:t>
      </w:r>
    </w:p>
    <w:p>
      <w:r>
        <w:t>En définitive, le Tribunal cantonal est resté dans les limites du rôle qu'il s'était fixé, à savoir "s'assurer que la question de l'intégration de la construction à l'environnement bâti avait été examinée sur la base de critères objectifs et sans sacrifier à un goût ou à un sens esthétique particulièrement aigu, de manière à ce que le poids de la subjectivité, inévitable dans toute appréciation, n'influe que dans les limites de principes éprouvés et par référence à des notions communément admises". Les objections de la recourante ne sont pas de nature à démontrer le caractère manifestement insoutenable de l'argumentation du Tribunal cantonal. Ainsi, c'est l'application que la Municipalité a faite de la clause d'esthétique qui est arbitraire et non pas l'examen de cette application par le Tribunal cantonal. Partant, le refus de l'instance précédente d'interdire l'ouvrage litigieux ne viole pas l'autonomie de la commune de Pully.</w:t>
      </w:r>
    </w:p>
    <w:p>
      <w:r>
        <w:rPr>
          <w:b/>
        </w:rPr>
        <w:t>E. 4</w:t>
      </w:r>
    </w:p>
    <w:p>
      <w:r>
        <w:t>Il s'ensuit que le recours doit être rejeté, dans la mesure de sa recevabilité. Il n'y a pas lieu de percevoir de frais judiciaires, la recourante ayant agi dans l'exercice de ses attributions officielles sans que son intérêt patrimonial soit en cause ( art. 66 al. 4 LTF ). La commune de Pully versera néanmoins une indemnité à titre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