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1C_505/2019 vom 29. April 2020</w:t>
      </w:r>
    </w:p>
    <w:p>
      <w:r>
        <w:t>Bundesgericht, 2020-04-29, FR</w:t>
      </w:r>
    </w:p>
    <w:p>
      <w:r>
        <w:rPr>
          <w:b/>
        </w:rPr>
        <w:t xml:space="preserve">Quelle: </w:t>
      </w:r>
      <w:r>
        <w:t>https://mcp.opencaselaw.ch/entscheid/bger_1C_505_2019</w:t>
      </w:r>
    </w:p>
    <w:p>
      <w:r>
        <w:t>FR: TF 1C_505/2019 du 29 avril 2020</w:t>
      </w:r>
    </w:p>
    <w:p>
      <w:r>
        <w:t>IT: TF 1C_505/2019 del 29 aprile 2020</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Bien qu'il soit intitulé recours constitutionnel, le recours peut être traité comme recours en matière de droit public. La recourante a un intérêt à obtenir l'annulation ou la modification de l'arrêt attaqué qui confirme la décision d'indemnité LAVI, au titre du tort moral, pour un montant inférieur à celui de sa demande ( art. 89 al. 1 LTF ).</w:t>
      </w:r>
    </w:p>
    <w:p>
      <w:r>
        <w:rPr>
          <w:b/>
        </w:rPr>
        <w:t>E. 2</w:t>
      </w:r>
    </w:p>
    <w:p>
      <w:r>
        <w:t>La recourante consacre une large part de son écriture à la présentation des faits. Elle indique notamment les raisons pour lesquelles elle n'a, dans un premier temps, pas déposé plainte après l'agression du 28 octobre 2013. Elle conteste être à l'origine des suspensions de procédure prononcées dans ce cadre. Elle revient sur l'agression du 13 février 2015 et la procédure qui s'en est suivie; elle explique pour quelles raisons elle a signé la convention qui a conduit au retrait de sa plainte en appel. Elle conteste avoir été diagnostiquée dépressive avant d'avoir connu l'auteur des agressions. Elle relève aussi que les instances LAVI auraient refusé toute aide et tout accompagnement, sans rendre de décision formelle à ce sujet.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w:t>
      </w:r>
    </w:p>
    <w:p>
      <w:r>
        <w:rPr>
          <w:b/>
        </w:rPr>
        <w:t>E. 2.2</w:t>
      </w:r>
    </w:p>
    <w:p>
      <w:r>
        <w:t>Ignorant les réquisits légaux en matière de contestation de l'établissement des faits, la recourante développe une argumentation purement appellatoire et, partant, irrecevable, par laquelle elle tente d'ajouter des faits qui auraient été selon elle ignorés des instances précédentes, sans se référer à des éléments du dossier ni indiquer en quoi les faits en question seraient pertinents, c'est-à-dire propres à conduire à une solution juridique différente. Les griefs relatifs à l'établissement des faits doivent par conséquent être écartés.</w:t>
      </w:r>
    </w:p>
    <w:p>
      <w:r>
        <w:rPr>
          <w:b/>
        </w:rPr>
        <w:t>E. 3</w:t>
      </w:r>
    </w:p>
    <w:p>
      <w:r>
        <w:t>Sur le fond, la recourante insiste sur le fait qu'elle a été victime de plusieurs agressions entre 2013 et 2015; elle relève qu'elle a signé la convention en appel pour mettre fin à une procédure qui lui était insupportable. Elle estime que la jurisprudence réduit en général de 1'000 fr. l'indemnité pour tort moral allouée sur le plan civil. L'instance cantonale n'aurait pas tenu compte du harcèlement massif dont elle a été la victime et conteste l'état dépressif récurrent dont elle serait l'objet. Elle estime que son âge (53 ans, 48 au moment des faits) aurait dû être pris en compte.</w:t>
      </w:r>
    </w:p>
    <w:p>
      <w:r>
        <w:rPr>
          <w:b/>
        </w:rPr>
        <w:t>E. 3.1</w:t>
      </w:r>
    </w:p>
    <w:p>
      <w:r>
        <w:t>A teneur de l' art. 22 al. 1 LAVI , la victime a droit à une réparation morale lorsque la gravité de l'atteinte le justifie. Le montant de la réparation morale est fixé en fonction de la gravité de l'atteinte ( art. 23 al. 1 LAVI ). Lorsque l'ayant droit est la victime la réparation ne peut excéder 70'000 fr. ( art. 23 al. 2 let. a LAVI ). Selon la jurisprudence constante, le législateur n'avait pas voulu, en mettant en place le système d'indemnisation prévu par l'ancienne LAVI, assurer à la victime une réparation pleine, entière et inconditionnelle du préjudice qu'elle a subi ( ATF 125 II 169 consid. 2b p. 173 ss).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129 II 312 consid. 2.3 p. 315; 128 II 49 consid. 4.3 p. 55). Si le principe d'un droit subjectif à la réparation morale est ancré dans la LAVI ( art. 22 LAVI ), le plafonnement de l'indemnisation implique que les montants alloués en vertu de cette loi sont nettement inférieurs à ceux alloués selon le droit privé (arrêts 1C_583/2016 du 11 avril 2017 consid. 4.3, 1C_542/2015 du 28 janvier 2016 consid. 3.2; PETER GOMM, in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(FF 2005 6744 s.). La fourchette des montants à disposition est ainsi plus étroite qu'en droit civil, les montants les plus élevés devant être réservés aux cas les plus graves, tels qu'une invalidité à 100% (arrêt 1C_583/2016 du 11 avril 2017 consid. 4.3).</w:t>
      </w:r>
    </w:p>
    <w:p>
      <w:r>
        <w:t>S'agissant de l'application du droit fédéral, le Tribunal fédéral dispose en principe d'un plein pouvoir d'examen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p. 121; arrêt 1C_542/2015 du 28 janvier 2016 consid. 3.3).</w:t>
      </w:r>
    </w:p>
    <w:p>
      <w:r>
        <w:rPr>
          <w:b/>
        </w:rPr>
        <w:t>E. 3.2</w:t>
      </w:r>
    </w:p>
    <w:p>
      <w:r>
        <w:t>Dans le cas d'espèce, la cour cantonale a retenu à juste titre que la recourante ne pouvait prétendre à une réparation d'un montant identique à celui qui a été alloué devant le juge pénal en vertu notamment de la convention passée entre les parties. Rappelant que l'absence de procédure pénale ou - comme en l'occurrence - le classement de celle-ci, s'agissant de l'agression de 2013, n'excluait pas une indemnisation pour autant que les faits soient suffisamment vraisemblables ( ATF 144 II 406 ), elle a retenu que l'agression du 28 octobre 2013 pouvait être considérée comme suffisamment établie et qu'il en était résulté une atteinte à l'intégrité physique et psychique de la recourante, ouvrant le droit à une indemnisation fondée sur la LAVI. L'atteinte physique était toutefois réduite puisqu'elle se limitait à des ecchymoses et dermabrasions ayant guéri sans séquelles; quant à l'atteinte psychique, elle pouvait faire l'objet d'une appréciation d'ensemble. C'est donc à tort que la recourante se plaint de n'avoir pas été reconnue comme victime de l'agression de 2013. S'agissant de celle de 2015, l'instance précédente en rappelle les circonstances dans des termes qui ne divergent pas de la présentation des faits de la recourante. Elle rappelle notamment qu'après avoir hésité, les juges pénaux ont considéré qu'il s'agissait de lésions simples n'ayant pas occasionné de préjudice esthétique grave et important. La cour cantonale a toutefois précisé que pour les lésions dentaires, une observation d'au moins 15 ans serait nécessaire. Au plan subjectif, il a été tenu compte de la première agression (ayant nécessité une consultation du 12 au 16 octobre 2013) et de la seconde qui avait nécessité une hospitalisation de trois semaines pour un état de stress post-traumatique en relation avec les deux agressions. Le trouble dépressif avait pu être causé par la première agression et aggravé par la seconde, mais il s'agissait d'un état récurrent de sorte que le séjour dans une clinique en 2016 paraissait davantage lié à la situation personnelle générale de la recourante. La cour cantonale a ensuite pris soin de mentionner dans le détail la casuistique énumérée par l'instance précédente ainsi que les cas répertoriés dans la doctrine et dans la jurisprudence cantonale, considérant sur le vu de l'ensemble des circonstances que l'indemnisation allouée par l'instance LAVI (2'000 fr.) était trop basse et qu'un montant de 3'000 fr. apparaissait justifié.</w:t>
      </w:r>
    </w:p>
    <w:p>
      <w:r>
        <w:rPr>
          <w:b/>
        </w:rPr>
        <w:t>E. 3.3</w:t>
      </w:r>
    </w:p>
    <w:p>
      <w:r>
        <w:t>Force est de constater que la cour cantonale a ainsi tenu compte de toutes les circonstances pertinentes - y compris donc de l'ensemble des agressions dont la recourante a été victime - et que l'indemnité fixée se situe dans la fourchette des cas qui peuvent offrir une comparaison avec celui de la recourante. Celle-ci persiste à considérer qu'elle aurait droit à l'entier de l'indemnité qui a été fixée par voie conventionnelle dans le cadre de la procédure pénale, ce qui n'est toutefois pas le cas compte tenu des principes rappelés ci-dessus. Enfin, la recourante se prévaut de son âge, sans indiquer en quoi celui-ci devrait constituer un critère devant conduire à l'augmentation de l'indemnité.</w:t>
      </w:r>
    </w:p>
    <w:p>
      <w:r>
        <w:rPr>
          <w:b/>
        </w:rPr>
        <w:t>E. 4</w:t>
      </w:r>
    </w:p>
    <w:p>
      <w:r>
        <w:t>Il s'ensuit que le recours doit être rejeté, dans la mesure de sa recevabilité. Conformément au principe de gratuité posé à l' art. 30 al. 1 LAVI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