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1C_504/2019 vom 21. April 2020</w:t>
      </w:r>
    </w:p>
    <w:p>
      <w:r>
        <w:t>Bundesgericht, 2020-04-21, FR</w:t>
      </w:r>
    </w:p>
    <w:p>
      <w:r>
        <w:rPr>
          <w:b/>
        </w:rPr>
        <w:t xml:space="preserve">Quelle: </w:t>
      </w:r>
      <w:r>
        <w:t>https://mcp.opencaselaw.ch/entscheid/bger_1C_504_2019</w:t>
      </w:r>
    </w:p>
    <w:p>
      <w:r>
        <w:t>FR: TF 1C_504/2019 du 21 avril 2020</w:t>
      </w:r>
    </w:p>
    <w:p>
      <w:r>
        <w:t>IT: TF 1C_504/2019 del 21 aprile 2020</w:t>
      </w:r>
    </w:p>
    <w:p>
      <w:pPr>
        <w:pStyle w:val="Heading2"/>
      </w:pPr>
      <w:r>
        <w:t>Erwägungen</w:t>
      </w:r>
    </w:p>
    <w:p>
      <w:r>
        <w:rPr>
          <w:b/>
        </w:rPr>
        <w:t>E. 1</w:t>
      </w:r>
    </w:p>
    <w:p>
      <w:r>
        <w:t>Le Tribunal fédéral examine d'office sa compétence ( art. 29 al. 1 LTF ). Il contrôle librement la recevabilité des recours qui lui sont soumis ( ATF 145 I 239 consid. 2 p. 241; ATF 144 V 280 consid. 1 p. 282).</w:t>
      </w:r>
    </w:p>
    <w:p>
      <w:r>
        <w:rPr>
          <w:b/>
        </w:rPr>
        <w:t>E. 1.1</w:t>
      </w:r>
    </w:p>
    <w:p>
      <w:r>
        <w:t>Le recours est dirigé contre une décision finale ( art. 90 LTF ), rendue en dernière instance cantonale par un tribunal supérieur ( art. 86 al. 1 let . d et al. 2 LTF) concernant une amende administrative prononcée dans le domaine du droit public des constructions ( art. 82 let. a LTF ). La voie du recours en matière de droit public est partant ouverte. Le recours a en outre été déposé en temps utile ( art. 100 al. 1 LTF ) par le destinataire de l'arrêt attaqué qui a qualité pour recourir au sens de l' art. 89 al. 1 LTF .</w:t>
      </w:r>
    </w:p>
    <w:p>
      <w:r>
        <w:rPr>
          <w:b/>
        </w:rPr>
        <w:t>E. 1.2</w:t>
      </w:r>
    </w:p>
    <w:p>
      <w:r>
        <w:t>Dans la mesure où le recours en matière de droit public est une voie de réforme ( art. 107 al. 2 LTF ), le recourant ne peut en principe se borner à demander l'annulation de la décision attaquée, mais il doit prendre des conclusions sur le fond du litige (cf. ATF 137 II 313 consid. 1.3 p. 317; arrêt 1C_464/2019 du 5 décembre 2019 consid. 1.2). Alors que le recourant conclut principalement à l'annulation de l'arrêt attaqué et, subsidiairement, à son renvoi à l'autorité précédente, ce n'est qu'à titre " plus subsidiaire " qu'il conclut à la " réduction substantielle " du montant de l'amende prononcée. Cela étant, à la lecture de son mémoire de recours (cf. en particulier p. 9, dernier paragraphe), on comprend toutefois qu'il souhaite principalement, compte tenu de l'absence d'autorisation nécessaire au regard de la nature des travaux en cause et de l'urgence de leur réalisation, se voir libéré de toute sanction administrative en lien avec les travaux qui auraient été effectués sans autorisation sur le bâtiment édifié sur la parcelle n° xxx, feuille --, de la commune de U.________, dont il est propriétaire.</w:t>
      </w:r>
    </w:p>
    <w:p>
      <w:r>
        <w:rPr>
          <w:b/>
        </w:rPr>
        <w:t>E. 2</w:t>
      </w:r>
    </w:p>
    <w:p>
      <w:r>
        <w:t>Invoquant un déni de justice formel ( art. 29 al. 1 Cst. ) ainsi qu'une violation de son droit d'être entendu ( art. 29 al. 2 Cst. ), le recourant se plaint que la cour cantonale s'est abstenue d'examiner les griefs par lesquels il entendait démontrer que la réalisation des travaux litigieux, notamment de par leur nature et compte tenu de l'urgence de la situation, ne nécessitait pas d'autorisation de construire et n'était donc pas constitutive d'une contravention au sens de l'art. 137 LCI.</w:t>
      </w:r>
    </w:p>
    <w:p>
      <w:r>
        <w:rPr>
          <w:b/>
        </w:rPr>
        <w:t>E. 2.1.1</w:t>
      </w:r>
    </w:p>
    <w:p>
      <w:r>
        <w:t>Selon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144 II 184 consid. 3.1 p. 192 et les références citées; arrêts 1C_475/2019 du 29 janvier 2020 consid. 3.2; 1C_647/2018 du 14 août 2019 consid. 2.3). Le Tribunal fédéral examine librement le point de savoir s'il y a déni de justice formel. Par contre, il n'examine que sous l'angle de l'arbitraire l'interprétation et l'application des dispositions de droit cantonal topiques ( ATF 144 II 184 consid. 3.1 p. 192; ATF 135 I 6 consid. 2.1 p. 9).</w:t>
      </w:r>
    </w:p>
    <w:p>
      <w:r>
        <w:t>Le droit d'être entendu garanti à l' art. 29 al. 2 Cst. implique notamment le devoir pour l'autorité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preuves et griefs invoqués par les parties, mais peut au contraire se limiter à l'examen des questions décisives pour l'issue du litige ( ATF 145 IV 99 consid. 3.1 p. 109; 143 III 65 consid. 5.2 p. 70 s.; 141 IV 244 consid. 1.2.1 p. 246).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lorsqu'elle omet de se prononcer sur des griefs qui présentent une certaine pertinence ou de prendre en considération des allégués et arguments importants pour la décision à rendre ( ATF 141 V 557 consid. 3.2.1 p. 565).</w:t>
      </w:r>
    </w:p>
    <w:p>
      <w:r>
        <w:rPr>
          <w:b/>
        </w:rPr>
        <w:t>E. 2.1.2</w:t>
      </w:r>
    </w:p>
    <w:p>
      <w:r>
        <w:t>Aux termes de l'art. 137 al. 1 LCI, est passible d'une amende administrative de 100 fr. à 150'000 fr. tout contrevenant à la LCI (let. a), aux règlements et aux arrêtés édictés en vertu de cette loi (let. b) ainsi qu'aux ordres donnés par le Département dans les limites de la LCI des règlements et arrêtés édictés en vertu de celle-ci (let. c). Le montant maximum de l'amende est de 20'000 fr.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w:t>
      </w:r>
    </w:p>
    <w:p>
      <w:r>
        <w:t>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ou encore modifier la configuration du terrain (let. d). L'art. 1 al. 4 LCI prévoit qu'en zone à bâtir, l'édification de constructions de très peu d'importance, telles que définies par l'art. 1 al. 5 LCI (soit notamment les cabanes amovibles de dimension modeste [let. a] ou encore les pergolas non couvertes [let. b]), n'est pas soumise à autorisation de construire, les dispositions relatives à la protection du patrimoine demeurant réservées.</w:t>
      </w:r>
    </w:p>
    <w:p>
      <w:r>
        <w:rPr>
          <w:b/>
        </w:rPr>
        <w:t>E. 2.1.3</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ordonner, à l'égard des constructions, des installations ou d'autres choses, la suspension des travaux (art. 129 let. a et 130 LCI). L'art. 131 LCI dispose que les propriétaires ou leurs mandataires, les entrepreneurs et les usagers sont tenus de se conformer aux mesures ordonnées par le Département, en application des art. 129 s. LCI.</w:t>
      </w:r>
    </w:p>
    <w:p>
      <w:r>
        <w:rPr>
          <w:b/>
        </w:rPr>
        <w:t>E. 2.2.1</w:t>
      </w:r>
    </w:p>
    <w:p>
      <w:r>
        <w:t>Il peut être admis avec la cour cantonale que, par la notification des décisions des 13 et 27 mars 2014, le recourant et son mandataire avaient été informés de la nature des travaux qui, de l'avis du Département, avaient été réalisés sans autorisation. Il ne saurait en revanche être considéré que l'absence de recours contre ces décisions, qui portaient sur la seule suspension des travaux en cours (cf. art. 129 let. a LCI), de même que la mise en garde qui lui avait été adressée par le Département le 10 mai 2013, rendaient tardifs les griefs soulevés par le recourant et l'empêchaient en particulier de contester, dans le cadre des voies de droit contre l'amende administrative, la nécessité de disposer d'une autorisation de construire.</w:t>
      </w:r>
    </w:p>
    <w:p>
      <w:r>
        <w:t>Ainsi, en tant que les arguments évoqués par le recourant se rapportaient au caractère peu important de certains travaux (cf. art. 1 al. 3 et 5 LCI) et à l'urgence de la situation, ils ne paraissaient pas d'emblée dénués de pertinence au moment de déterminer si l'ensemble des modifications réalisées était effectivement soumis à autorisation et si leur réalisation justifiait donc le prononcé d'une amende administrative au sens de l'art. 137 LCI, ainsi que, le cas échéant, la quotité de celle-ci. Il ne ressort du reste pas de l'arrêt entrepris que la cour cantonale disposait à cet égard, en vertu du droit cantonal, d'un pouvoir d'examen plus restreint que le TAPI, qui avait pour sa part pris en considération les griefs du recourant, en retenant en particulier, au moment de fixer le montant de l'amende, qu'une partie des travaux reprochés ne pouvait lui être imputée, étant donné qu'ils avaient été réalisés par un ancien locataire (cf. jugement du TAPI du 15 novembre 2018, consid. 23 p. 13).</w:t>
      </w:r>
    </w:p>
    <w:p>
      <w:r>
        <w:rPr>
          <w:b/>
        </w:rPr>
        <w:t>E. 2.2.2</w:t>
      </w:r>
    </w:p>
    <w:p>
      <w:r>
        <w:t>Dès lors, il y a lieu d'admettre qu'à défaut d'examiner les griefs soulevés par le recourant en lien avec la réalisation des éléments constitutifs de la contravention prévue à l'art. 137 LCI, l'arrêt attaqué est entaché d'un déni de justice formel.</w:t>
      </w:r>
    </w:p>
    <w:p>
      <w:r>
        <w:rPr>
          <w:b/>
        </w:rPr>
        <w:t>E. 3</w:t>
      </w:r>
    </w:p>
    <w:p>
      <w:r>
        <w:t>Le recours doit partant être admis et l'arrêt attaqué annulé. La cause est renvoyée à la cour cantonale pour nouvelle décision au sens des considérants.</w:t>
      </w:r>
    </w:p>
    <w:p>
      <w:r>
        <w:t>Il n'y a pas lieu de percevoir de frais judiciaires ( art. 66 al. 4 LTF ). Le recourant, qui obtient gain de cause avec l'assistance d'un avocat, a droit à des dépens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