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504/2017 vom 28. März 2018</w:t>
      </w:r>
    </w:p>
    <w:p>
      <w:r>
        <w:t>Bundesgericht, 2018-03-28, FR</w:t>
      </w:r>
    </w:p>
    <w:p>
      <w:r>
        <w:rPr>
          <w:b/>
        </w:rPr>
        <w:t xml:space="preserve">Quelle: </w:t>
      </w:r>
      <w:r>
        <w:t>https://mcp.opencaselaw.ch/entscheid/bger_1C_504_2017</w:t>
      </w:r>
    </w:p>
    <w:p>
      <w:r>
        <w:t>FR: TF 1C 504/2017 du 28 mars 2018</w:t>
      </w:r>
    </w:p>
    <w:p>
      <w:r>
        <w:t>IT: TF 1C 504/2017 del 28 marzo 2018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voisins directs du projet litigieux, ils sont particulièrement touchés par l'arrêt attaqué qui confirme l'autorisation de construire deux bâtiments d'habitation qu'ils tiennent pour contraires à l'affectation de la zone. Ils peuvent ainsi se prévaloir d'un intérêt personnel et digne de protection à l'annulation de l'arrêt attaqué. Ils ont dès lors qualité pour agir au sens de l' art. 89 al. 1 LTF .</w:t>
      </w:r>
    </w:p>
    <w:p>
      <w:r>
        <w:rPr>
          <w:b/>
        </w:rPr>
        <w:t>E. 2</w:t>
      </w:r>
    </w:p>
    <w:p>
      <w:r>
        <w:t>ainsi que deux salles d'eau, dont une directement accessible par la plus grande des chambres. Il n'apparaît ainsi pas évident, contrairement à ce qu'affirment les recourants, que ces locaux présenteraient une typologie hôtelière. On peut en revanche, avec les recourants, nourrir certains doutes s'agissant des appartements de sept pièces. La cour cantonale s'est d'ailleurs elle-même étonnée de la séparation inhabituelle entre la cuisine et le séjour, tout comme de l'absence d'espaces privés extérieurs, dans le prolongement du séjour et de la salle à manger, alors que la cuisine est pourvue d'un balcon d'une surface de 4,8 m2. En dépit de cette configuration atypique des locaux, elle n'en a pas pour autant exclu tout usage à titre de logement familial, appréciation qui n'est en tant que telle pas discutée par les recourants; ceux-ci n'expliquent en particulier pas en quoi il serait insoutenable d'avoir considéré que la chambre à l'ouest, avec accès à une grande salle de bain, pouvait apparaître comme étant destinée à un couple et les quatre chambres à l'est, donnant accès à des salles d'eau plus réduites, comme autant de chambres d'enfants; il n'apparaît ainsi pas non plus arbitraire d'avoir nié à ces appartement toute typologie hôtelière. Enfin s'agissant des sous-sols, les recourants affirment que la présence, selon les plans, d'une salle de billard, d'une salle de musculation et de WC témoignerait de la volonté de créer des locaux à vocation collective. Toutefois, faute d'explications complémentaires, on ne discerne pas en quoi ces aménagements seraient incompatibles avec l'existence de trois logements familiaux, une telle affectation familiale n'excluant d'ailleurs pas nécessairement une utilisation collective d'éventuelles installations de loisirs aménagées dans l'immeuble. Pour le surplus, les recourants ne discutent pas les déclarations de l'intimée - jugées crédibles par la cour cantonale - précisant que ces locaux seront également utilisés pour l'entreposage de matériel, actuellement conservé sur un site plus éloigné de l'école, de sorte qu'il n'y a pas lieu de s'en écarter ( art. 106 al. 2 LTF ).</w:t>
      </w:r>
    </w:p>
    <w:p>
      <w:r>
        <w:rPr>
          <w:b/>
        </w:rPr>
        <w:t>E. 2.1</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pour une définition de l'arbitraire cf. ATF 134 I 263 consid. 3.1 p. 266). Quant au droit d'être entendu, garanti à l' art. 29 al. 2 Cst. , celui-ci comprend notamment le droit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 Dans ce contexte, la partie recourante est soumise aux exigences accrues de motivation de l' art. 106 al. 2 LTF .</w:t>
      </w:r>
    </w:p>
    <w:p>
      <w:r>
        <w:rPr>
          <w:b/>
        </w:rPr>
        <w:t>E. 2.2</w:t>
      </w:r>
    </w:p>
    <w:p>
      <w:r>
        <w:t>En l'occurrence, la cour cantonale a en premier lieu procédé à l'analyse de la configuration de chacun des logements projetés à la lumière des plans versés au dossier. S'agissant des appartements de quatre pièces et celui de 5,5 pièces, la cour cantonale a considéré que ceux-ci présentaient toutes les caractéristiques de logements de famille. En ce qui concerne les logements de sept pièces, la cour cantonale, tout en leur reconnaissant une configuration inhabituelle, a estimé que ceux-ci pouvaient néanmoins aussi se prêter à une utilisation familiale. Le Tribunal cantonal s'est ensuite également fondé sur les déclarations des représentants de l'association intimée, lors de l'audience du 10 janvier 2017, ceux-ci ayant, à cette occasion, précisé que locataires seraient principalement des membres du personnel et du corps enseignant. Sur cette base, le Tribunal cantonal a nié que l'intimée ait eu l'intention de créer des logements pour étudiants. Il a en outre jugé que ces différents éléments étaient déterminants pour statuer et que les mesures d'instruction requise par les recourants n'étaient pas susceptibles de l'amener à modifier son opinion.</w:t>
      </w:r>
    </w:p>
    <w:p>
      <w:r>
        <w:rPr>
          <w:b/>
        </w:rPr>
        <w:t>E. 2.3</w:t>
      </w:r>
    </w:p>
    <w:p>
      <w:r>
        <w:t>Les recourants contestent cette appréciation. Ils soutiennent que le but social de l'intimée, à savoir la formation académique et culturelle, interdirait la construction d'autres types d'habitations que celles destinées à ses étudiants, ce qui témoignerait, dans le cas particulier, de sa volonté de réaliser de tels logements et, à terme, un véritable campus estudiantin. A défaut d'explications complémentaires ou encore de référence à une disposition statutaire susceptible d'appuyer les propos des recourants, il n'apparaît cependant pas choquant de considérer que la construction d'habitations destinées au personnel de l'école ou au corps enseignant soit compatible avec le but de l'intimée. Le fait que l'intimée soit propriétaire de la plupart des terrains non bâtis compris dans le plan de quartier ne permet pas non plus de déduire que celle-ci entendrait réaliser un tel campus dans le secteur; un tel raisonnement relève de la conjecture. Il est également erroné d'affirmer que la cour cantonale aurait nié la volonté de créer des logements familiaux sur la seule foi des déclarations de l'intimée. Le Tribunal cantonal a en effet pris soin de confronter ses allégations avec la configuration des différents logements projetés. Or, à l'examen des plans, il n'apparaît pas insoutenable, s'agissant des appartements de quatre pièces et de celui de 5,5 pièces d'avoir considéré que ceux-ci présentaient une typologie classique de logement familial. Les appartements de quatre pièces sont en effet composés d'un espace coin à manger-cuisine-séjour, de trois chambres de dimensions égales et deux sanitaires comprenant chacun une douche, un WC et un lavabo. Quant à l'appartement de 5,5 pièces, il est constitué d'un vaste espace comprenant le séjour, le coin à manger et la cuisine de 79 m</w:t>
      </w:r>
    </w:p>
    <w:p>
      <w:r>
        <w:rPr>
          <w:b/>
        </w:rPr>
        <w:t>E. 2.4</w:t>
      </w:r>
    </w:p>
    <w:p>
      <w:r>
        <w:t>Il n'apparaît ainsi en définitive pas arbitraire d'avoir jugé que les constructions projetées présentaient les caractéristiques d'habitations familiales. Au vu de cette typologie, compatible avec une utilisation par les collaborateurs de l'école et leurs familles, ainsi que par le corps enseignant, il n'est pas non plus critiquable d'avoir accordé foi aux propos de la constructrice sur ce point. Enfin, dans la mesure où cette appréciation procède d'une instruction complète de la cause, comprenant non seulement la tenue d'une audience, mais également un examen détaillé des plans versés au dossier, le Tribunal cantonal pouvait, sans violer le droit d'être entendus des recourants, écarter leurs offres de preuve au motif que celles-ci n'étaient pas susceptibles de modifier son opinion. Les recourants ne développent d'ailleurs à cet égard aucune argumentation convaincante, se limitant pour l'essentiel à renvoyer à leurs critiques portant sur l'établissement des faits, ce qui s'avère insuffisant ( art. 106 al. 2 LTF ), ce d'autant plus que celles-ci - on l'a vu - ne sont pas fondées.</w:t>
      </w:r>
    </w:p>
    <w:p>
      <w:r>
        <w:rPr>
          <w:b/>
        </w:rPr>
        <w:t>E. 2.5</w:t>
      </w:r>
    </w:p>
    <w:p>
      <w:r>
        <w:t>En conclusion, les griefs portant sur l'établissement des faits et sur la violation du droit d'être entendu s'avèrent mal fondés et doivent être écartés.</w:t>
      </w:r>
    </w:p>
    <w:p>
      <w:r>
        <w:rPr>
          <w:b/>
        </w:rPr>
        <w:t>E. 3</w:t>
      </w:r>
    </w:p>
    <w:p>
      <w:r>
        <w:t>L'affectation de la zone dans le périmètre du plan de quartier des Antets est régie par les prescriptions spéciales prévues par celui-ci, qui renvoient aux art. 49 ss RPE, figurant au chapitre V relatif à la zone de villas. Selon les recourants, en dépit de l'abrogation du RPE par l'adoption du RPGA, l'affectation du périmètre demeurerait définie par cette ancienne disposition. A les suivre, en jugeant que le secteur est désormais soumis à la zone mixte de faible densité au sens de l'art. 118 RPGA, le Tribunal cantonal aurait versé dans l'arbitraire. Les recourants développent ensuite leur argumentation autour de la question de la compatibilité du projet litigieux avec la zone de villas au sens de l'art. 49 RPE; ils ne prétendent en revanche pas que le projet serait contraire à la zone mixte de faible densité (art. 118 RPGA).</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Les griefs de violation de dispositions cantonales sont soumis à des exigences de motivation accrue ( art. 106 al. 2 LTF ); il appartient dans ce contexte à la partie recourante de citer les dispositions du droit cantonal dont elle se prévaut et de démontrer en quoi celles-ci auraient été appliquées arbitrairement ou d'une autre manière contraire au droit (cf. ATF 136 II 489 consid. 2.8 p. 494; 133 IV 286 consid. 1.4 p. 287).</w:t>
      </w:r>
    </w:p>
    <w:p>
      <w:r>
        <w:rPr>
          <w:b/>
        </w:rPr>
        <w:t>E. 3.2</w:t>
      </w:r>
    </w:p>
    <w:p>
      <w:r>
        <w:t>L'ancien art. 49 RPE, auquel renvoie le plan de quartier des Antets, définit la zone de villas comme étant une zone de faible densité caractérisée par l'implantation et la distance à observer entre les constructions (let. a), la limitation du nombre d'étages (let. b), la limitation de la surface bâtie par rapport à la surface de la parcelle comprise dans la zone (let. c) et la limitation du nombre de logements (let. d). Cette disposition a toutefois été abrogée par l'entrée en vigueur en 2006 du RPGA (cf. art. 157 let. a RPGA). S'agissant plus particulièrement des plans spéciaux d'aménagement faisant référence, à l'instar du plan de quartier des Antets, à d'anciennes dispositions du RPE, l'art. 156 RPGA prévoit que ces dernières sont remplacées par les dispositions du RPGA selon les tableaux de correspondance des annexes 2a et 2b. L'annexe 2a du RPGA comporte en regard de l'art. 49 RPE la mention "supprimé". Le Tribunal cantonal en a déduit que le plan de quartier des Antets ne comportait plus de disposition définissant l'affectation de la zone, de sorte qu'il convenait de faire application de l'art. 155 al. 3 RPGA; celui-ci prévoit, à titre supplétif, que les secteurs soumis à un plan spécial d'affectation sont subordonnés aux dispositions du RPGA s'ils ne comprennent pas de dispositions analogues. Les juges cantonaux ont considéré que les règles correspondantes étaient en l'occurrence celles de la zone mixte de faible densité, en particulier de l'art. 118 RPGA. Cette dernière disposition définit l'affectation de la zone mixte de faible densité comme étant destinée principalement à l'habitation et, de manière subsidiaire au commerce, aux bureaux, aux constructions et installations publiques ainsi qu'aux équipements destinés à l'enseignement, à la santé et à la culture (al. 1); la proportion des surfaces brutes de plancher réservées à l'habitation est de 80% au minimum (al. 2); toutefois, dans les cas où la typologie des bâtiments existants (château, pensionnat, école privée, etc.) ne se prête pas au logement, cette proportion n'est pas exigée (al. 3). Le Tribunal cantonal a ainsi, en résumé, jugé que la définition de la zone de villas telle qu'elle résulte du RPE a été abrogée lors de l'entrée en vigueur du RPGA, qui définit désormais l'affectation de la zone mixte de faible densité à l'art. 118 RPG, en remplacement de l'art. 49 RPE, supprimant ainsi notamment la notion de villa.</w:t>
      </w:r>
    </w:p>
    <w:p>
      <w:r>
        <w:rPr>
          <w:b/>
        </w:rPr>
        <w:t>E. 3.3</w:t>
      </w:r>
    </w:p>
    <w:p>
      <w:r>
        <w:t>Il est vrai qu'en regard de l'art. 49 RPE, le tableau de correspondance ne fait pas expressément mention de la disposition définissant l'affection de la zone mixte de faible densité (art. 118 RPGA); il n'en demeure pas moins que l'ensemble des renvois prévus pour les autres dispositions de l'ancienne zone de villas désignent des prescriptions spécifiques à cette nouvelle zone mixte, complétés, le cas échéant, par des renvois aux règles générales applicables à toutes les zones (à titre d'exemple, art. 17 RPGA définissant la méthode de calcul de l'indice d'utilisation du sol). Il n'apparaît ainsi pas déraisonnable d'avoir considéré que l'ancienne affectation à la zone de villas, valable pour le plan de quartier des Antets, a été abrogée au profit de la zone mixte de faible densité. D'ailleurs, et contrairement à ce que soutiennent les recourants, le législateur communal n'a pas non plus prévu de renvoi exprès à la disposition du RPGA définissant la nouvelle affectation, dans le cadre de la conversion de l'ancienne zone urbaine de l'ordre non contigu en zone mixte de forte de densité: le renvoi aux art. 16 et 105 RPGA ne porte en effet pas à proprement parler sur l'affectation de la zone, laquelle est définie à l'art. 104 RPGA, mais sur l'ordre des constructions; il en va d'ailleurs de même s'agissant de l'ancienne zone périphérique de l'art. 40 RPE (cf. annexe 2a RPGA). Les recourants ne sauraient dès lors déduire de la comparaison entre ces deux derniers cas de figure et celui de la zone de villas que l'absence de référence explicite à l'art. 118 RPGA, en regard de l'art. 49 RPE, témoignerait nécessairement - d'un point de vue systématique - de la volonté du législateur communal de maintenir cette ancienne zone. L'interprétation de la cour cantonale se trouve du reste encore renforcée - comme le souligne à juste titre la municipalité - par la reproduction, sur la version officielle du plan de quartier, des dispositions du Titre V du RPGA réglementant la transition des anciens textes communaux vers le nouveau règlement; cet élément est de nature à conforter un peu plus encore la suppression du renvoi à l'ancien RPE, au profit du nouveau droit (cf. art. 155 et 156 RPGA). On ne discerne enfin pas non plus en quoi les autres dispositions spécifiques du plan de quartier imposeraient le maintien de l'ancienne affectation en zone de villas. Il faut certes concéder aux recourants que celles-ci limitent les possibilités de construire par rapport à l'ancien RPE, voire au RPGA en vigueur, en particulier s'agissant de la distance à la limite (6 m au lieu de 5 m; art. 51 RPE et 122 RPGA) et de la surface du bâtiment (pas supérieur à 1/10 de la surface du terrain contre 1/6; art. 53 RPE; cf. également art. 119 RPGA); les recourants ne démontrent cependant pas que ces prescriptions spéciales seraient ou devraient être maintenues ni que, dans cette hypothèse, celles-ci seraient inconciliables avec une affectation à la zone mixte de moyenne densité; il n'y a dès lors pas lieu de s'y attarder ( art. 106 al. 2 LTF ).</w:t>
      </w:r>
    </w:p>
    <w:p>
      <w:r>
        <w:rPr>
          <w:b/>
        </w:rPr>
        <w:t>E. 3.4</w:t>
      </w:r>
    </w:p>
    <w:p>
      <w:r>
        <w:t>Sur le vu de ce qui précède, il n'est pas arbitraire d'avoir considéré que l'ancienne affectation en zone de villas, valable pour le plan de quartier des Antets, a été abrogée et remplacée par la zone mixte de faible densité définie par l'art. 118 RPGA. Il s'ensuit que les griefs tirés de la prétendue incompatibilité du projet avec l'ancienne zone de villas (art. 49 RPE), longuement développés dans le recours, se révèlent sans pertinence. Pour le surplus, dès lors que les recourants ne prétendent pas que le projet serait contraire à l'affectation de la zone mixte de faible densité (118 RPGA) - question sur laquelle porte l'essentiel de l'arrêt cantonal -, il n'appartient pas au Tribunal fédéral d'examiner d'office cet aspect du litige, celui-ci relevant de la violation du droit communal, grief soumis au principe d'invocation (ou Rügeprinzip ) ( art. 106 al. 2 LTF ; cf. ATF 137 V 57 consid. 1.3 p. 60; arrêt 1C_38/2016 du 13 mai 2016 consid. 2.1).</w:t>
      </w:r>
    </w:p>
    <w:p>
      <w:r>
        <w:rPr>
          <w:b/>
        </w:rPr>
        <w:t>E. 4</w:t>
      </w:r>
    </w:p>
    <w:p>
      <w:r>
        <w:t>Les considérants qui précèdent conduisent au rejet du recours, dans la mesure de sa recevabilité, aux frais des recourants, qui succombent ( art. 65 et 66 al. 1 et 5 LTF ). L'intimée, qui obtient gain de cause avec l'assistance d'un avocat, a droit à des dépens ( art. 68 al. 1 LTF ), contrairement à la Commune de Lausanne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