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504/2009 vom 24. November 2009</w:t>
      </w:r>
    </w:p>
    <w:p>
      <w:r>
        <w:t>Bundesgericht, 2009-11-24, FR</w:t>
      </w:r>
    </w:p>
    <w:p>
      <w:r>
        <w:rPr>
          <w:b/>
        </w:rPr>
        <w:t xml:space="preserve">Quelle: </w:t>
      </w:r>
      <w:r>
        <w:t>https://mcp.opencaselaw.ch/entscheid/bger_1C_504_2009</w:t>
      </w:r>
    </w:p>
    <w:p>
      <w:r>
        <w:t>FR: TF 1C 504/2009 du 24 novembre 2009</w:t>
      </w:r>
    </w:p>
    <w:p>
      <w:r>
        <w:t>IT: TF 1C 504/2009 del 24 novembre 2009</w:t>
      </w:r>
    </w:p>
    <w:p>
      <w:pPr>
        <w:pStyle w:val="Heading2"/>
      </w:pPr>
      <w:r>
        <w:t>Regeste</w:t>
      </w:r>
    </w:p>
    <w:p>
      <w:r>
        <w:t>autorisation préalable d'implantation | Aménagement du territoire et droit public des constructions</w:t>
      </w:r>
    </w:p>
    <w:p>
      <w:pPr>
        <w:pStyle w:val="Heading2"/>
      </w:pPr>
      <w:r>
        <w:t>Erwägungen</w:t>
      </w:r>
    </w:p>
    <w:p>
      <w:r>
        <w:rPr>
          <w:b/>
        </w:rPr>
        <w:t>E. 1</w:t>
      </w:r>
    </w:p>
    <w:p>
      <w:r>
        <w:t>C.________ et B.________ sont copropriétaires de la parcelle n° 186 du registre foncier de la commune de Belmont-sur-Lausanne. Cette parcelle non construite, de 6'612 mètres carrés, est comprise dans le périmètre du plan de quartier "En Arnier II" approuvé par le Département des institutions et des relations extérieures du canton de Vaud le 28 juin 2007. Du 15 décembre 2006 au 24 janvier 2007, C.________ et B.________ ont soumis à l'enquête publique, parallèlement au plan de quartier, une demande d'autorisation préalable d'implantation portant sur un bâtiment d'habitation de trente-et-un logements avec un garage souterrain de cinquante-six places sur la parcelle n° 186. Ce projet a notamment suscité l'opposition de la société A.________, propriétaire d'une parcelle voisine, que la Municipalité de Belmont-sur-Lausanne a levée le 20 octobre 2008. Par arrêt du 9 octobre 2009, la Cour de droit administratif et public du Tribunal cantonal du canton de Vaud (ci-après: le Tribunal cantonal) a rejeté, dans la mesure où il était recevable, le recours formé contre cette décision par A.________ et maintenu la décision municipale du 20 octobre 2008 levant l'opposition et délivrant aux constructeurs l'autorisation préalable d'implantation sollicitée. Le 11 novembre 2009, A.________ a déposé un recours en matière de droit public et un recours constitutionnel subsidiaire auprès du Tribunal fédéral contre cet arrêt dont elle demande la réforme en ce sens que l'autorisation préalable d'implantation sur la parcelle n° 186 est refusée. Elle conclut à titre subsidiaire à l'annulation de l'arrêt attaqué et au renvoi de la cause à l'autorité inférieure pour nouvelle décision dans le sens des considérants. Il n'a pas été demandé de réponses au recours.</w:t>
      </w:r>
    </w:p>
    <w:p>
      <w:r>
        <w:rPr>
          <w:b/>
        </w:rPr>
        <w:t>E. 2</w:t>
      </w:r>
    </w:p>
    <w:p>
      <w:r>
        <w:t>Le Tribunal fédéral examine d'office la recevabilité des recours qui lui sont soumis ( ATF 135 III 329 consid. 1 p. 331).</w:t>
      </w:r>
    </w:p>
    <w:p>
      <w:r>
        <w:rPr>
          <w:b/>
        </w:rPr>
        <w:t>E. 2.1</w:t>
      </w:r>
    </w:p>
    <w:p>
      <w:r>
        <w:t>Dirigé contre une décision prise en dernière instance cantonale dans le domaine du droit public de l'aménagement du territoire et des constructions, le recours est en principe recevable comme recours en matière de droit public selon les art. 82 ss LTF et l'art. 34 al. 1 de la loi fédérale sur l'aménagement du territoire (LAT; RS 700) dans sa teneur actuelle au sens du ch. 64 de l'annexe à la loi sur le Tribunal administratif fédéral ( ATF 133 II 249 consid. 1.2 p. 251), aucune des exceptions prévues à l' art. 83 LTF n'étant réalisée. La recourante a pris part à la procédure de recours devant le Tribunal cantonal. Elle est particulièrement touchée par l'arrêt attaqué qui confirme l'octroi d'une autorisation préalable d'implantation relative à un bâtiment d'habitation et à un garage souterrain sur la parcelle voisine. Elle peut se prévaloir d'un intérêt digne de protection à son annulation. Sa qualité pour recourir selon l' art. 89 al. 1 LTF ne prête pas à discussion.</w:t>
      </w:r>
    </w:p>
    <w:p>
      <w:r>
        <w:rPr>
          <w:b/>
        </w:rPr>
        <w:t>E. 2.2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L'octroi d'une autorisation préalable d'implantation selon l'art. 119 de la loi vaudoise sur l'aménagement du territoire et les constructions constitue une étape vers la délivrance du permis de construire définitif et revêt ainsi un caractère incident quand bien même les éléments du projet jugés conformes au plan d'affectation ou à la réglementation communale de police des constructions ne peuvent plus être remis en cause par la suite par la municipalité (arrêt 1C_86/2008 du 10 juillet 2008 consid. 2.2.2; voir aussi ATF 135 II 30 consid. 1.3.1 p. 34 qui concernait une institution semblable du droit bâlois). Il n'y a aucune raison de mettre en cause cette jurisprudence. Pareille décision ne peut dès lors faire l'objet d'un recours immédiat auprès du Tribunal fédéral que si elle satisfait aux exigences de l' art. 93 al. 1 LTF . En principe, l'octroi d'une autorisation préalable d'implantation n'entraîne aucun préjudice irréparable pour les opposants au projet puisqu'il ne permet pas à son bénéficiaire d'entreprendre d'autres démarches que celles nécessaires à l'obtention de l'autorisation définitive de construire (arrêt 1C_86/2008 du 10 juillet 2008 consid. 2.2.3). 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 art. 25a Cst. ou lorsque l'on peut raisonnablement exiger, pour d'autres motifs, des parties qu'elles attendent la décision finale ( ATF 135 II 30 consid. 1.3.5 p. 37).</w:t>
      </w:r>
    </w:p>
    <w:p>
      <w:r>
        <w:rPr>
          <w:b/>
        </w:rPr>
        <w:t>E. 2.4</w:t>
      </w:r>
    </w:p>
    <w:p>
      <w:r>
        <w:t>La recourante ne démontre pas, comme il lui appartenait de faire ( ATF 134 II 137 consid. 1.3.3 p. 141), que les conditions posées pour admettre exceptionnellement la présence d'un préjudice irréparable seraient réunies. Le Tribunal cantonal a retenu que la question de la nécessité d'éventuels ancrages, de leurs emplacements et de leur profondeur sera examinée dans l'étude géotechnique que les intimés devront présenter avec le dossier de la demande de permis de construire définitive. De même, il a considéré que les griefs relatifs aux mouvements de terre étaient irrecevables en l'état car ils ne faisaient pas l'objet de la demande préalable d'implantation et qu'ils ne sont pas couverts par l'autorisation litigieuse. La recourante ne précise pas le préjudice immédiat qu'elle subirait du fait que l'examen de ces questions aurait été reporté, selon elle, à tort au stade du permis de construire définitif. En particulier, elle ne prétend pas ni ne démontre que les constructeurs seraient en droit de procéder à des ancrages sur sa propriété ou à des mouvements de terre sur la base de l'autorisation préalable d'implantation qui leur a été délivrée. Elle ne fait pas valoir de circonstances particulières qui justifieraient de faire trancher sans délai les questions litigieuses qui ne revêtent pas une importance de principe. On ne se trouve pas dans une situation où la jurisprudence reconnaît pour des motifs tirés de l'économie de la procédure l'existence d'un préjudice irréparable propre à justifier que le Tribunal fédéral entre en matière sans délai sur le recours. En outre, l'hypothèse de l' art. 93 al. 1 let. b LTF n'entre manifestement pas en considération (cf. arrêt 1C_86/2008 du 10 juillet 2009 consid. 2.2.3).</w:t>
      </w:r>
    </w:p>
    <w:p>
      <w:r>
        <w:rPr>
          <w:b/>
        </w:rPr>
        <w:t>E. 3</w:t>
      </w:r>
    </w:p>
    <w:p>
      <w:r>
        <w:t>Le recours doit par conséquent être déclaré irrecevable aux frais de la recourante qui succombe ( art. 65 et 66 al. 1 LTF ), ce qui rend sans objet la demande d'effet suspensif présentée par la recourante. Ni la Commune de Belmont-sur-Lausanne, ni les intimés, qui n'ont pas été invités à répondre,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