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1C_503/2015 vom 21. Januar 2016</w:t>
      </w:r>
    </w:p>
    <w:p>
      <w:r>
        <w:t>Bundesgericht, 2016-01-21, FR</w:t>
      </w:r>
    </w:p>
    <w:p>
      <w:r>
        <w:rPr>
          <w:b/>
        </w:rPr>
        <w:t xml:space="preserve">Quelle: </w:t>
      </w:r>
      <w:r>
        <w:t>https://mcp.opencaselaw.ch/entscheid/bger_1C_503_2015</w:t>
      </w:r>
    </w:p>
    <w:p>
      <w:r>
        <w:t>FR: TF 1C_503/2015 du 21 janvier 2016</w:t>
      </w:r>
    </w:p>
    <w:p>
      <w:r>
        <w:t>IT: TF 1C_503/2015 del 21 gennaio 2016</w:t>
      </w:r>
    </w:p>
    <w:p>
      <w:pPr>
        <w:pStyle w:val="Heading2"/>
      </w:pPr>
      <w:r>
        <w:t>Erwägungen</w:t>
      </w:r>
    </w:p>
    <w:p>
      <w:r>
        <w:rPr>
          <w:b/>
        </w:rPr>
        <w:t>E. 1</w:t>
      </w:r>
    </w:p>
    <w:p>
      <w:r>
        <w:t>Dirigé contre la décision du Tribunal administratif fédéral qui confirme l'annulation de la naturalisation facilitée accordée à la recourante,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qualité pour recourir au sens de l' art. 89 al. 1 LTF et les conditions formelles de recevabilité sont remplies, de sorte qu'il y a lieu d'entrer en matière.</w:t>
      </w:r>
    </w:p>
    <w:p>
      <w:r>
        <w:rPr>
          <w:b/>
        </w:rPr>
        <w:t>E. 2</w:t>
      </w:r>
    </w:p>
    <w:p>
      <w:r>
        <w:t>Dans son écriture, le recourant se plaint notamment d'une constatation manifestement inexacte des faits.</w:t>
      </w:r>
    </w:p>
    <w:p>
      <w:r>
        <w:rPr>
          <w:b/>
        </w:rPr>
        <w:t>E. 2.1</w:t>
      </w:r>
    </w:p>
    <w:p>
      <w:r>
        <w:t>Le Tribunal fédéral statue sur la base des faits établis par l'autorité précédente ( art. 105 al. 1 LTF ), sauf s'ils ont été établis de façon manifestement inexacte ou en violation du droit au sens de l' art. 95 LTF ( art. 105 al. 2 LTF ). Si le recourant entend s'écarter de ces constatations de fait, il doit expliquer de manière circonstanciée en quoi les conditions de l' art. 105 al. 2 LTF seraient réalisées et la correction du vice susceptible d'influer sur le sort de la cause (cf. art. 97 al. 1 LTF ; ATF 135 II 313 consid. 5.2.2 p. 322 s.). A défaut, il n'est pas possible de tenir compte d'un état de fait divergent de celui qui est contenu dans l'arrêt attaqué. En particulier, le Tribunal fédéral n'entre pas en matière sur des critiques appellatoires concernant l'établissement des faits ou l'appréciation des preuves opérés par l'autorité précédente ( ATF 136 II 101 consid. 3 p. 105; 135 II 313 consid. 5.2.2 p. 322 et les arrêts cités).</w:t>
      </w:r>
    </w:p>
    <w:p>
      <w:r>
        <w:rPr>
          <w:b/>
        </w:rPr>
        <w:t>E. 2.2</w:t>
      </w:r>
    </w:p>
    <w:p>
      <w:r>
        <w:t>Le recourant présente certains faits qui ne ressortent pas de l'arrêt entrepris, notamment le fait qu'il s'était rendu auprès d'un centre de consultation conjugale en 2005 malgré le refus de son ex-épouse et qu'il n'avait pas envisagé de quitter la Suisse. Formulés sur un mode purement appellatoire, ces faits ne peuvent être pris en compte par le Tribunal fédéral. Pour le reste, le recourant ne critique pas l'établissement des faits mais plutôt leur appréciation juridique. Il s'agit dès lors d'une question de droit qui sera examinée avec le fond. Le grief de constatation inexacte des faits est donc irrecevable.</w:t>
      </w:r>
    </w:p>
    <w:p>
      <w:r>
        <w:rPr>
          <w:b/>
        </w:rPr>
        <w:t>E. 3</w:t>
      </w:r>
    </w:p>
    <w:p>
      <w:r>
        <w:t>Le recourant conteste avoir obtenu la naturalisation par des déclarations mensongères, invoquant une violation du droit fédéral et en particulier du principe de l'interdiction de l'arbitraire.</w:t>
      </w:r>
    </w:p>
    <w:p>
      <w:r>
        <w:rPr>
          <w:b/>
        </w:rPr>
        <w:t>E. 3.1</w:t>
      </w:r>
    </w:p>
    <w:p>
      <w:r>
        <w:t>Conformément à l' art. 41 al. 1 LN , l'ODM peut, avec l'assentiment de l'autorité du canton d'origine, annuler la naturalisation ou la réintégration obtenue par des déclarations mensongères ou la dissimulation de faits essentiels.</w:t>
      </w:r>
    </w:p>
    <w:p>
      <w:r>
        <w:rPr>
          <w:b/>
        </w:rPr>
        <w:t>E. 3.1.1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3.1.2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w:t>
      </w:r>
    </w:p>
    <w:p>
      <w:r>
        <w:t>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3.2</w:t>
      </w:r>
    </w:p>
    <w:p>
      <w:r>
        <w:t>En l'espèce, le Tribunal administratif fédéral a considéré que le court laps de temps séparant la déclaration commune (le 20 juin 2008), l'octroi de la naturalisation facilitée (le 24 juillet 2008), les événements survenus le 15 juin 2009, le dépôt d'une requête de mesures protectrices de l'union conjugale (le 24 juin 2009) et le dépôt d'une demande unilatérale de divorce par son ex-épouse (le 20 septembre 2011) était de nature à fonder la présomption que cette naturalisation avait été acquise au moyen de déclarations mensongères, respectivement en dissimulant des faits essentiels.</w:t>
      </w:r>
    </w:p>
    <w:p>
      <w:r>
        <w:t>En l'occurrence, la présomption de fait n'est pas discutée par le recourant et elle peut effectivement se fonder sur un enchaînement chronologique relativement rapide des événements, en particulier la séparation définitive des époux intervenue quelques mois après l'octroi de la naturalisation (cf. notamment arrêts du Tribunal fédéral 1C_796/2013 du 13 mars 2014 consid. 3.2 et 1C_172/2012 du 11 mai 2012 consid. 2.3).</w:t>
      </w:r>
    </w:p>
    <w:p>
      <w:r>
        <w:t>Conformément à la jurisprudence précitée, il convient à présent d'examiner si le recourant est parvenu à renverser cette présomption en rendant vraisemblable, soit la survenance d'un événement extraordinaire susceptible d'expliquer une dégradation aussi rapide du lien conjugale, soit l'absence de conscience de la gravité des problèmes de couple au moment de la signature de la déclaration commune</w:t>
      </w:r>
    </w:p>
    <w:p>
      <w:r>
        <w:rPr>
          <w:b/>
        </w:rPr>
        <w:t>E. 3.3</w:t>
      </w:r>
    </w:p>
    <w:p>
      <w:r>
        <w:t>Dans son écriture, le recourant soutient qu'il formait une union conjugale stable et effective au moment de la naturalisation. Il conteste avoir menti et affirme que sa demande de naturalisation était un acte d'intégration de sa part dépourvu de tout intérêt. En lien avec les mesures protectrices de l'union conjugale ordonnées en 2005, il explique que son ex-épouse n'a jamais voulu aller au centre de consultation conjugale. Il évoque en outre les problèmes d'alcool et la jalousie maladive de cette dernière. Le recourant énumère par ailleurs les activités communes de la famille (ski, bateau, courses, voyage) et son souhait d'acheter une maison. Enfin, il explique avoir demandé la révision de sa condamnation pénale le 15 juin 2015.</w:t>
      </w:r>
    </w:p>
    <w:p>
      <w:r>
        <w:t>Les explications du recourant ne sont toutefois pas convaincantes et ne permettent pas de renverser la présomption établie. L'instance précédente a démontré de manière convaincante que le couple rencontrait des problèmes conjugaux dès les débuts du mariage, en se basant notamment sur la requête de mesures protectrices de l'union conjugale du 1</w:t>
      </w:r>
    </w:p>
    <w:p>
      <w:r>
        <w:t>er septembre 2005, ainsi que le jugement de la Cour d'assise du 11 novembre 2010 duquel il ressort que la police avait dû intervenir au domicile conjugal en 2002 déjà. L'instance précédente soulignait que les ex-époux avaient momentanément vécu séparés à la suite d'une altercation en 2005; à l'occasion de la demande de mesures protectrices déposée par l'ex-épouse en 2005, celle-ci avait expliqué que le couple rencontrait des difficultés conjugales, que son mari était dur, autoritaire et violent à son encontre, que la situation était devenue insupportable pour elle, qu'elle avait été battue par son mari et qu'elle avait dû solliciter la protection du Centre LAVI. Plusieurs témoins (la mère de l'ex-épouse et un voisin du couple) avaient confirmé que le couple était déjà confronté à des problèmes conjugaux avant 2009 (cf. arrêt entrepris consid. 8.2). Force est dès lors d'admettre que les problèmes conjugaux étaient antérieurs à la signature de la déclaration de vie commune et que le recourant ne pouvait en ignorer la gravité. Le fait que son ex-épouse aurait refusé de se rendre dans un centre de consultation conjugale n'apparaît pas déterminant.</w:t>
      </w:r>
    </w:p>
    <w:p>
      <w:r>
        <w:t>Le fait que le couple vivait ensemble depuis 1999, que le recourant est parfaitement intégré en Suisse, qu'il s'est dévoué à sa famille et qu'il aidait ses beaux-parents n'est pas pertinent pour l'examen de la question de savoir s'il y a eu obtention frauduleuse de la naturalisation au sens de l' art. 41 LN .</w:t>
      </w:r>
    </w:p>
    <w:p>
      <w:r>
        <w:rPr>
          <w:b/>
        </w:rPr>
        <w:t>E. 3.4</w:t>
      </w:r>
    </w:p>
    <w:p>
      <w:r>
        <w:t>Par conséquent, les conditions d'application de l' art. 41 LN sont réunies et le Tribunal administratif fédéral n'a pas violé le droit fédéral en confirmant l'annulation de la naturalisation facilitée qui avait été octroyée au recourant.</w:t>
      </w:r>
    </w:p>
    <w:p>
      <w:r>
        <w:rPr>
          <w:b/>
        </w:rPr>
        <w:t>E. 4</w:t>
      </w:r>
    </w:p>
    <w:p>
      <w:r>
        <w:t>Sur le vu de ce qui précède, le recours doit être rejeté dans la mesure de sa recevabilité. Le recours au Tribunal fédéral était d'emblée voué à l'échec, de sorte que l'assistance judiciaire requise en relation avec la présente procédure doit être refusée ( art. 64 al. 1 LTF ). Les frais judiciaires seront donc mis à la charge du recourant ( art. 66 al. 1 LTF ). Ils seront toutefois fixés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