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1C_503/2008 vom 10. Februar 2009</w:t>
      </w:r>
    </w:p>
    <w:p>
      <w:r>
        <w:t>Bundesgericht, 2009-02-10, FR</w:t>
      </w:r>
    </w:p>
    <w:p>
      <w:r>
        <w:rPr>
          <w:b/>
        </w:rPr>
        <w:t xml:space="preserve">Quelle: </w:t>
      </w:r>
      <w:r>
        <w:t>https://mcp.opencaselaw.ch/entscheid/bger_1C_503_2008</w:t>
      </w:r>
    </w:p>
    <w:p>
      <w:r>
        <w:t>FR: TF 1C_503/2008 du 10 février 2009</w:t>
      </w:r>
    </w:p>
    <w:p>
      <w:r>
        <w:t>IT: TF 1C_503/2008 del 10 febbraio 2009</w:t>
      </w:r>
    </w:p>
    <w:p>
      <w:pPr>
        <w:pStyle w:val="Heading2"/>
      </w:pPr>
      <w:r>
        <w:t>Erwägungen</w:t>
      </w:r>
    </w:p>
    <w:p>
      <w:r>
        <w:rPr>
          <w:b/>
        </w:rPr>
        <w:t>E. 1</w:t>
      </w:r>
    </w:p>
    <w:p>
      <w:r>
        <w:t>Le recours est dirigé contre une décision d'irrecevabilité prise en dernière instance cantonale; sur le fond, la contestation porte sur la modification partielle d'un plan d'affectation des zones et d'un règlement communal des constructions et des zones. Le recours est dès lors recevable comme recours en matière de droit public selon les art. 82 ss LTF et 34 al. 1 de la loi fédérale sur l'aménagement du territoire (LAT; RS 700), dans sa teneur actuelle selon le ch. 64 de l'annexe à la loi sur le Tribunal administratif fédéral ( ATF 133 II 353 consid. 3.3 p. 358). Aucune des exceptions définies à l' art. 83 LTF n'est réalisée.</w:t>
      </w:r>
    </w:p>
    <w:p>
      <w:r>
        <w:t>A.________ a participé à la procédure de recours devant le Tribunal cantonal. Il est particulièrement touché par l'arrêt attaqué qui déclare son recours irrecevable, faute de qualité pour agir; il peut se prévaloir d'un intérêt digne de protection à faire constater que sa légitimation active ne lui a pas été déniée en violation du droit fédéral et à obtenir l'annulation de l'arrêt attaqué sur ce point dès lors qu'il a pour conséquence de ne pas entrer en matière sur le fond de son recours (cf. arrêt 2C_376/2008 du 2 décembre 2008 consid. 1.2 destiné à la publication). La qualité pour recourir selon l' art. 89 al. 1 LTF doit dont lui être reconnue.</w:t>
      </w:r>
    </w:p>
    <w:p>
      <w:r>
        <w:t>Le recourant se borne à demander l'annulation de l'arrêt attaqué sans prendre de conclusions sur le fond comme l'exige l' art. 42 al. 1 LTF . Il résulte toutefois du mémoire de recours qu'il entend obtenir de la cour cantonale qu'elle statue matériellement sur le recours dont il l'avait saisie ( ATF 133 II 409 consid. 1.4 p. 414; 133 III 489 consid. 3.1). Le recours est donc recevable de ce point de vue.</w:t>
      </w:r>
    </w:p>
    <w:p>
      <w:r>
        <w:rPr>
          <w:b/>
        </w:rPr>
        <w:t>E. 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En outre, s'il se plaint de la violation de droits fondamentaux ou de dispositions de droit cantonal, il doit respecter le principe d'allégation en indiquant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 C'est à la lumière de ces principes que doivent être appréciés les moyens soulevés par A.________.</w:t>
      </w:r>
    </w:p>
    <w:p>
      <w:r>
        <w:rPr>
          <w:b/>
        </w:rPr>
        <w:t>E. 3</w:t>
      </w:r>
    </w:p>
    <w:p>
      <w:r>
        <w:t>Le recourant considère que le refus de la cour cantonale de lui reconnaître la qualité pour agir consacrerait une violation inadmissible de l' art. 111 al. 1 LTF , de l'art. 37 al. 2 de la loi cantonale concernant l'application de la loi fédérale sur l'aménagement du territoire (LcAT) et de l'art. 44 al. 1 de la loi cantonale sur la procédure et la juridiction administratives (LPJA).</w:t>
      </w:r>
    </w:p>
    <w:p>
      <w:r>
        <w:rPr>
          <w:b/>
        </w:rPr>
        <w:t>E. 3.1</w:t>
      </w:r>
    </w:p>
    <w:p>
      <w:r>
        <w:t>En vertu de l' art. 33 al. 3 let. a LAT , dans sa teneur actuelle selon le ch. 64 de l'annexe à la loi sur le Tribunal administratif fédéral,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Une exigence analogue ressort de l' art. 111 al. 1 LTF . La qualité pour agir devant la Cour de droit public du Tribunal cantonal du canton de Valais est définie à l'art. 44 al. 1 LPJA. Cette disposition accorde le droit de recourir à quiconque est atteint par la décision attaquée et possède un intérêt digne de protection à ce qu'elle soit annulée ou modifiée (let. a). Le recourant ne prétend pas que le droit cantonal serait plus large que le droit fédéral, étant précisé que l'art. 37 al. 2 LcAT, également évoqué, détermine la qualité pour recourir devant le Conseil d'Etat et n'est donc pas en cause ici. En définitive, il convient donc d'examiner la qualité pour recourir sous l'angle de l' art. 89 al. 1 LTF . S'agissant de droit fédéral ( art. 111 al. 1 LTF ), le Tribunal fédéral examine cette question librement.</w:t>
      </w:r>
    </w:p>
    <w:p>
      <w:r>
        <w:rPr>
          <w:b/>
        </w:rPr>
        <w:t>E. 3.2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général ou d'un tiers est en revanche irrecevable. Cette exigence a été posée de manière à empêcher l'action populaire au niveau de la juridiction administrative fédérale ( ATF 133 II 249 consid. 1.3.1 p. 252, 468 consid. 1 p. 470). Il incombe au recourant d'alléguer les faits qu'il considère comme propres à fonder sa qualité pour agir lorsqu'ils ne ressortent pas à l'évidence de la décision attaquée ou du dossier de la cause ( ATF 133 II 249 consid. 1.1 p. 251).</w:t>
      </w:r>
    </w:p>
    <w:p>
      <w:r>
        <w:rPr>
          <w:b/>
        </w:rPr>
        <w:t>E. 3.3</w:t>
      </w:r>
    </w:p>
    <w:p>
      <w:r>
        <w:t>Le recourant n'a manifestement pas la qualité pour recourir contre la modification de l'affectation des parcelles du secteur de Monteilly et, plus particulièrement, de celle qui accueille actuellement les courts de tennis, vu la distance séparant son chalet des parcelles concernées et les nombreuses constructions érigées entre ces deux emplacements. La cour cantonale l'a aussi déniée s'agissant de l'affectation du secteur, plus proche, du Broisin au motif que A.________ ne faisait valoir que sa vision de l'intérêt général du patrimoine champérolain, tel qu'il le percevait après de nombreuses activités bénévoles au service du tourisme du village; il n'exposait aucun élément dont il ressortirait qu'il serait spécialement touché par la réglementation attaquée dont rien ne permet de constater qu'elle aurait une incidence sur les possibilités de bâtir sur sa parcelle.</w:t>
      </w:r>
    </w:p>
    <w:p>
      <w:r>
        <w:t>Il appartenait ainsi au recourant, pour se conformer aux exigences de motivation de l' art. 42 al. 2 LTF , de démontrer en quoi sa qualité pour agir lui avait été déniée de manière contraire au droit. On cherche en vain une démonstration en ce sens dans le présent recours.</w:t>
      </w:r>
    </w:p>
    <w:p>
      <w:r>
        <w:t>Le recourant fonde en effet sa légitimation active sur sa qualité de voisin immédiat des constructions prévues sur la place du Broisin dans le cadre du projet immobilier des "Maisons de Biarritz". Or, contrairement à ce qu'il affirme dans son recours, ces constructions ne prendraient pas place "sous ses fenêtres", mais à septante mètres de la place en question; il n'y a donc pas de rapport de voisinage direct ou immédiat entre ces deux endroits dont l'espace intermédiaire est largement occupé par le bâtiment de l'église et son clocher. Le recourant n'établit pas que les constructions seraient visibles depuis son chalet et cette constatation ne s'impose pas au regard des plans et autres documents versés au dossier. Enfin, il ne prétend pas à juste titre que leur réalisation l'exposerait à des nuisances supplémentaires puisque l'accès au parking souterrain se ferait non pas par la rue du Village, mais par la route de la Fin, de manière à décharger le centre de la localité. Etant donné que sa qualité pour agir ne s'imposait pas à l'évidence du seul fait de la proximité de son chalet avec l'objet de la contestation, limité à la nouvelle affectation de la place du Broisin, A.________ devait démontrer en quoi il était plus particulièrement touché que les autres habitants de la commune par la modification du plan d'affectation des zones et du règlement communal des constructions et des zones.</w:t>
      </w:r>
    </w:p>
    <w:p>
      <w:r>
        <w:t>Le recourant fait certes valoir son engagement actif et hors du commun dans la vie politique et le développement de la commune de Champéry, qui lui rendrait insupportable le projet immobilier prévu à cet endroit. Le fait qu'il ait oeuvré activement dans l'intérêt de la collectivité et qu'il prenne particulièrement à coeur la sauvegarde du patrimoine communal n'est toutefois pas de nature à lui conférer un intérêt particulier ou spécial, au sens de la jurisprudence précitée, par rapport aux autres habitants du village, qui commanderait de lui reconnaître la qualité pour contester le projet immobilier prévu sur la place du Broisin.</w:t>
      </w:r>
    </w:p>
    <w:p>
      <w:r>
        <w:t>Ainsi, la décision cantonale déniant au recourant la qualité pour recourir au motif qu'il n'avait pas établi être spécialement touché par la modification de la planification litigieuse est conforme à la jurisprudence relative à l' art. 89 al. 1 LTF . Elle ne consacre pas une conception plus restrictive de la qualité pour recourir définie pour le droit fédéral, si bien que l' art. 111 al. 1 LTF est respecté. Il s'ensuit que le recours doit être rejeté, sans qu'il soit nécessaire d'examiner le bien-fondé de l'argumentation subsidiaire évoquée dans l'arrêt attaqué quant à la motivation insuffisante du recours.</w:t>
      </w:r>
    </w:p>
    <w:p>
      <w:r>
        <w:rPr>
          <w:b/>
        </w:rPr>
        <w:t>E. 4</w:t>
      </w:r>
    </w:p>
    <w:p>
      <w:r>
        <w:t>Le recours doit par conséquent être rejeté dans la mesure où il est recevable, aux frais de son auteur ( art. 65 et 66 al.1 LTF ). Ni la Commune de Champéry, ni le Conseil d'Etat ne sauraient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