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1C_502/2014 vom 28. Januar 2015</w:t>
      </w:r>
    </w:p>
    <w:p>
      <w:r>
        <w:t>Bundesgericht, 2015-01-28, DE</w:t>
      </w:r>
    </w:p>
    <w:p>
      <w:r>
        <w:rPr>
          <w:b/>
        </w:rPr>
        <w:t xml:space="preserve">Quelle: </w:t>
      </w:r>
      <w:r>
        <w:t>https://mcp.opencaselaw.ch/entscheid/bger_1C_502_2014</w:t>
      </w:r>
    </w:p>
    <w:p>
      <w:r>
        <w:t>FR: TF 1C_502/2014 du 28 janvier 2015</w:t>
      </w:r>
    </w:p>
    <w:p>
      <w:r>
        <w:t>IT: TF 1C_502/2014 del 28 gennaio 2015</w:t>
      </w:r>
    </w:p>
    <w:p>
      <w:pPr>
        <w:pStyle w:val="Heading2"/>
      </w:pPr>
      <w:r>
        <w:t>Erwägungen</w:t>
      </w:r>
    </w:p>
    <w:p>
      <w:r>
        <w:rPr>
          <w:b/>
        </w:rPr>
        <w:t>E. 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Person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Insbesondere kommt - entgegen der Auffassung des Beschwerdeführers - der Ausschlussgrund von Art. 83 lit. e BGG nicht zur Anwendung, da diese Bestimmung bloss für Mitglieder der obersten kantonalen Vollziehungs- und Gerichtsbehörden gilt ( BGE 137 IV 269 E. 1.3.1). Der Beschwerdeführer, der am kantonalen Verfahren als Partei beteiligt war und dessen Strafanzeige nicht mehr weiterbehandelt werden kann, ist befugt, sie zu erheben ( Art. 89 Abs. 1 BGG ). Nicht einzutreten ist auf die Beschwerde allerdings insoweit, als Rügen nicht sachgerecht begründet werden beziehungsweise, was über weite Strecken der Fall ist, an der Sache vorbeigehen ( Art. 42 Abs. 2 BGG ; BGE 134 II 244 E. 2.1 133 II 396 E. 3.2).</w:t>
      </w:r>
    </w:p>
    <w:p>
      <w:r>
        <w:t>Ist die Beschwerde in öffentlich-rechtlichen Angelegenheiten zulässig, bleibt für die subsidiäre Verfassungsbeschwerde kein Raum. Darauf ist nicht einzutreten.</w:t>
      </w:r>
    </w:p>
    <w:p>
      <w:r>
        <w:rPr>
          <w:b/>
        </w:rPr>
        <w:t>E. 2.1</w:t>
      </w:r>
    </w:p>
    <w:p>
      <w:r>
        <w:t>Die Strafanzeige betrifft folgenden Sachverhalt: Notar D.________ war vom Bezirksgericht Winterthur eingesetzter Erbenvertreter im Nachlass des verstorbenen C.________. Ende Dezember 2013 teilte Notar D.________ dem Notariatsinspektor des Kantons Zürich mit, er sei seitens der Erben - von A.________ und seiner Anwältin - unter Druck gesetzt worden und sehe sich ausserstande, das Mandat als Erbenvertreter weiter auszuführen. Im Hinblick auf die Bestellung eines ausserordentlichen Stellvertreters durch das Obergericht im Sinn von § 3 Abs. 2 des Zürcher Notariatsgesetzes vom 9. Juni 1985 fragte der Notariatsinspektor den Notar des Notariats Dübendorf, B.________, an, ob er das Mandat als Erbenvertreter übernehmen könne. B.________ nahm im Dezember 2013 Akteneinsicht und erklärte sich alsdann bereit, das Mandat zu übernehmen. Das Obergericht ernannte ihn daraufhin am 22. Januar 2014 zum neuen Erbenvertreter.</w:t>
      </w:r>
    </w:p>
    <w:p>
      <w:r>
        <w:rPr>
          <w:b/>
        </w:rPr>
        <w:t>E. 2.2</w:t>
      </w:r>
    </w:p>
    <w:p>
      <w:r>
        <w:t>Der Beschwerdeführer macht geltend, die Strafverfolgung des Beschwerdegegners bedürfe gar keiner Ermächtigung des Obergerichts, da er zum Tatzeitpunkt nicht Erbenvertreter gewesen sei und die Strafanzeige daher nicht seine amtliche Tätigkeit betreffe.</w:t>
      </w:r>
    </w:p>
    <w:p>
      <w:r>
        <w:t>Der Kanton Zürich kennt das Amtsnotariat (vgl. Notariatsgesetz, insbesondere §§ 1 und 11); Notare sind somit Beamte im Sinn von Art. 110 Abs. 3 StGB . Der Beschwerdegegner hat auf Anfrage des Notariatsinspektors Einsicht in die Akten der Erbteilung genommen, um zu prüfen, ob er in der Lage sei, für seinen Winterthurer Amtskollegen einzuspringen und das Mandat als Erbenvertreter im Nachlass des verstorbenen C.________ zu übernehmen. Diese Einsichtnahme in die Akten erfolgte somit offensichtlich im Rahmen seiner amtlichen Tätigkeit als Notar. Die Strafanzeige, in welcher der Beschwerdeführer geltend macht, der Beschwerdegegner habe Notar D.________ angestiftet, ihn unter Verletzung des Amtsgeheimnisses Einsicht in die Nachlassakten nehmen zu lassen, bezieht sich somit auf die amtliche Tätigkeit des Beschwerdegegners. Die Eröffnung eines auf die Strafanzeige des Beschwerdeführers gestützten Strafverfahrens bedarf somit klarerweise einer Ermächtigung des Obergerichts. Die Rüge ist unbegründet.</w:t>
      </w:r>
    </w:p>
    <w:p>
      <w:r>
        <w:rPr>
          <w:b/>
        </w:rPr>
        <w:t>E. 2.3</w:t>
      </w:r>
    </w:p>
    <w:p>
      <w:r>
        <w:t>Die Einsichtnahme des Beschwerdegegners in die Erbteilungsakten war von seiner Amtspflicht als Notar gedeckt, musste er sich doch einen Überblick über die zu übernehmende Aufgabe verschaffen, um die (amtliche) Anfrage des Notariatsinspektors betreffend die Mandatsübernahme sachgerecht beantworten zu können. Notar D.________ hat keine Amtsgeheimnisverletzung begangen, indem er dem Beschwerdegegner Akteneinsicht gewährte. Damit entbehrt auch der Vorwurf an den Beschwerdegegner, Notar D.________ zu einer Amtsgeheimnisverletzung angestiftet zu haben, jeder Grundlage. Es kann auf die zutreffenden Ausführungen des Obergerichts im angefochtenen Entscheid (E. 5 S. 4 f.) verwiesen werden.</w:t>
      </w:r>
    </w:p>
    <w:p>
      <w:r>
        <w:rPr>
          <w:b/>
        </w:rPr>
        <w:t>E. 3</w:t>
      </w:r>
    </w:p>
    <w:p>
      <w:r>
        <w:t>Die Beschwerde ist somit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