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1C_501/2016 vom 31. Oktober 2016</w:t>
      </w:r>
    </w:p>
    <w:p>
      <w:r>
        <w:t>Bundesgericht, 2016-10-31, DE</w:t>
      </w:r>
    </w:p>
    <w:p>
      <w:r>
        <w:rPr>
          <w:b/>
        </w:rPr>
        <w:t xml:space="preserve">Quelle: </w:t>
      </w:r>
      <w:r>
        <w:t>https://mcp.opencaselaw.ch/entscheid/bger_1C_501_2016</w:t>
      </w:r>
    </w:p>
    <w:p>
      <w:r>
        <w:t>FR: TF 1C_501/2016 du 31 octobre 2016</w:t>
      </w:r>
    </w:p>
    <w:p>
      <w:r>
        <w:t>IT: TF 1C_501/2016 del 31 ottobre 2016</w:t>
      </w:r>
    </w:p>
    <w:p>
      <w:pPr>
        <w:pStyle w:val="Heading2"/>
      </w:pPr>
      <w:r>
        <w:t>Erwägungen</w:t>
      </w:r>
    </w:p>
    <w:p>
      <w:r>
        <w:rPr>
          <w:b/>
        </w:rPr>
        <w:t>E. 1</w:t>
      </w:r>
    </w:p>
    <w:p>
      <w:r>
        <w:t>A.A.________ und B.A.________ reichten am 12. Juli 2016 eine Strafanzeige gegen den Präsidenten des Kreisgerichts Rorschach, den Leiter des Betreibungsamts Goldach und weitere Personen ein. Die Staatsanwaltschaft des Kantons St. Gallen überwies die Eingabe am 21. Juli 2016 der Anklagekammer des Kantons St. Gallen zwecks Durchführung des Ermächtigungsverfahrens. Die Anklagekammer des Kantons St. Gallen trat mit Entscheid vom 7. September 2016 auf die gegen verschiedene Kantonsrichter und weitere Personen gestellten Ausstandsgesuche nicht ein, soweit diese nicht als gegenstandslos abgeschrieben wurden, und erteilte keine Ermächtigung zur Eröffnung von Strafverfahren gegen den Kreisgerichtspräsidenten des Kreisgerichts Rorschach sowie den Leiter des Betreibungsamts Goldach.</w:t>
      </w:r>
    </w:p>
    <w:p>
      <w:r>
        <w:rPr>
          <w:b/>
        </w:rPr>
        <w:t>E. 2</w:t>
      </w:r>
    </w:p>
    <w:p>
      <w:r>
        <w:t>A.A.________ führt mit Eingabe vom 25. Oktober 2016 (Postaufgabe 26. Oktober 2016) Beschwerde gegen den Entscheid der Anklagekammer des Kantons St. Gallen.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der Begründung des angefochtenen Entscheids überhaupt nicht auseinander und vermag mit seinen nicht sachbezogenen Ausführungen nicht ansatzweise aufzuzeigen, inwiefern die Begründung der Anklagekammer bzw. deren Entscheid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