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49/2023 vom 7. Februar 2023</w:t>
      </w:r>
    </w:p>
    <w:p>
      <w:r>
        <w:t>Bundesgericht, 2023-02-07, FR</w:t>
      </w:r>
    </w:p>
    <w:p>
      <w:r>
        <w:rPr>
          <w:b/>
        </w:rPr>
        <w:t xml:space="preserve">Quelle: </w:t>
      </w:r>
      <w:r>
        <w:t>https://mcp.opencaselaw.ch/entscheid/bger_1C_49_2023</w:t>
      </w:r>
    </w:p>
    <w:p>
      <w:r>
        <w:t>FR: TF 1C 49/2023 du 7 février 2023</w:t>
      </w:r>
    </w:p>
    <w:p>
      <w:r>
        <w:t>IT: TF 1C 49/2023 del 7 febbraio 2023</w:t>
      </w:r>
    </w:p>
    <w:p>
      <w:pPr>
        <w:pStyle w:val="Heading2"/>
      </w:pPr>
      <w:r>
        <w:t>Regeste</w:t>
      </w:r>
    </w:p>
    <w:p>
      <w:r>
        <w:t>Entraide judiciaire internationale en matière pénale à la France; remise de moyens de preuves | Entraide et extradition</w:t>
      </w:r>
    </w:p>
    <w:p>
      <w:pPr>
        <w:pStyle w:val="Heading2"/>
      </w:pPr>
      <w:r>
        <w:t>Erwägungen</w:t>
      </w:r>
    </w:p>
    <w:p>
      <w:r>
        <w:rPr>
          <w:b/>
        </w:rPr>
        <w:t>E. 1</w:t>
      </w:r>
    </w:p>
    <w:p>
      <w:r>
        <w:t>Selon l' art. 84 al. 1 LTF , le recours est recevable à l'encontre d'un arrêt du Tribunal pénal fédéral en matière d'entraide judiciaire internationale si celui-ci a pour objet notamment la transmission de renseignements concernant le domaine secret et s'il concerne un cas particulièrement important. Un cas est particulièrement important notamment lorsqu'il y a des raisons de supposer que la procédure à l'étranger - ou en Suisse ( ATF 145 IV 99 consid. 1.3) - viole des principes fondamentaux ou comporte d'autres vices graves ( art. 84 al. 2 LTF ). Le Tribunal fédéral peut aussi être appelé à intervenir lorsqu'il s'agit de trancher une question juridique de principe ou lorsque l'instance précédente s'est écartée de la jurisprudence suivie jusque-là ( ATF 142 IV 250 consid. 1.3). Dans le domaine de la "petite entraide", l'existence d'un cas particulièrement important au sens de l' art. 84 al. 2 LTF doit être admise de manière restrictive ( ATF 145 IV 99 consid. 1.2). En vertu de l' art. 42 al. 2 LTF , il incombe à la partie recourante de démontrer que les conditions d'entrée en matière posées à l' art. 84 LTF sont réunies. En particulier, il ne suffit pas d'invoquer des violations des droits de procédure; seule une violation importante, suffisamment détaillée et crédible peut conduire, le cas échéant, à considérer que la condition de recevabilité posée à l' art. 84 al. 2 LTF est réalisée ( ATF 145 IV 99 consid. 1.4 et 1.5).</w:t>
      </w:r>
    </w:p>
    <w:p>
      <w:r>
        <w:rPr>
          <w:b/>
        </w:rPr>
        <w:t>E. 1.1</w:t>
      </w:r>
    </w:p>
    <w:p>
      <w:r>
        <w:t>La présente cause porte certes sur la transmission de documents bancaires, soit des renseignements touchant le domaine secret. Toutefois, compte tenu des faits à l'origine de la demande et de la nature de la transmission envisagée (limitée à la documentation relative à un compte bancaire), le cas ne revêt en soi aucune importance particulière.</w:t>
      </w:r>
    </w:p>
    <w:p>
      <w:r>
        <w:rPr>
          <w:b/>
        </w:rPr>
        <w:t>E. 1.2</w:t>
      </w:r>
    </w:p>
    <w:p>
      <w:r>
        <w:t>La recourante soutient que l'examen de la double incrimination en cas de blanchiment d'argent constituerait une question juridique de principe, notamment s'agissant de déterminer l'infraction préalable lorsque celle-ci ne ressort pas clairement de la demande d'entraide. La Cour des plaintes aurait appliqué de manière mécanique une jurisprudence vieille de 20 ans à teneur de laquelle la Suisse doit pouvoir accorder sa collaboration lorsque le soupçon de blanchiment est uniquement fondé sur l'existence de transactions suspectes ( ATF 129 II 97 consid. 3.3). L'état de fait de la commission rogatoire du 23 juillet 2020 serait consacré à la description des structures offshores et des flux financiers descendants ayant permis les acquisitions immobilières et leur entretien. En revanche, il ne contiendrait pas un mot concernant le crime ou le délit fiscal qualifié en amont, dont proviendraient les valeurs patrimoniales ayant permis les acquisitions immobilières suspectes et leur entretien. Le recours poserait ainsi la question de principe de savoir si, en matière d'entraide judiciaire, les autorités suisses peuvent s'affranchir de l'une des conditions objectives posées à l' art. 305 bis al. 1 et 1 bis CP , à savoir l'existence d'indices d'un crime ou d'un délit fiscal qualifié en amont. Selon la jurisprudence, l'autorité requérante n'a pas à indiquer en quoi consisterait l'infraction préalable en cas de blanchiment: il est suffisant que la demande s'appuie sur des soupçons objectifs et relevant de l'ensemble des circonstances ( ATF 130 II 329 consid. 5.1; 129 II 97 consid. 3.2 et 3.3). La Cour des plaintes s'en est tenue dans son arrêt à cette jurisprudence dont la Cour de céans a confirmé récemment la validité (cf. arrêt 1C_594/2022 du 24 novembre 2022 consid. 1.2; voir aussi, arrêt 1C_354/2020 du 21 juillet 2020 consid. 1.2 et les références citées). La recourante ne développe aucun argument pertinent qui en commanderait le réexamen. Elle ne saurait ainsi être suivie lorsqu'elle allègue que la problématique liée à l'existence de soupçons suffisants de blanchiment d'argent porterait sur une question de principe. La Cour des plaintes a au surplus expressément indiqué les raisons pour lesquelles elle considérait que les soupçons de blanchiment d'argent et de délit fiscal qualifié étaient réalisés. Le fait que la recourante ne partage pas cette appréciation ne suffit pas à démontrer l'existence d'un cas particulièrement important au sens de l' art. 84 al. 2 LTF . La violation d'un principe essentiel de procédure n'est au surplus pas manifeste.</w:t>
      </w:r>
    </w:p>
    <w:p>
      <w:r>
        <w:rPr>
          <w:b/>
        </w:rPr>
        <w:t>E. 2</w:t>
      </w:r>
    </w:p>
    <w:p>
      <w:r>
        <w:t>Le recours doit par conséquent être déclaré irrecevable selon la procédure simplifiée prévue par l' art. 109 al. 1 LTF . 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