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1C_49/2022 vom 21. November 2022</w:t>
      </w:r>
    </w:p>
    <w:p>
      <w:r>
        <w:t>Bundesgericht, 2022-11-21, DE</w:t>
      </w:r>
    </w:p>
    <w:p>
      <w:r>
        <w:rPr>
          <w:b/>
        </w:rPr>
        <w:t xml:space="preserve">Quelle: </w:t>
      </w:r>
      <w:r>
        <w:t>https://mcp.opencaselaw.ch/entscheid/bger_1C_49_2022</w:t>
      </w:r>
    </w:p>
    <w:p>
      <w:r>
        <w:t>FR: TF 1C_49/2022 du 21 novembre 2022</w:t>
      </w:r>
    </w:p>
    <w:p>
      <w:r>
        <w:t>IT: TF 1C_49/2022 del 21 novembre 2022</w:t>
      </w:r>
    </w:p>
    <w:p>
      <w:pPr>
        <w:pStyle w:val="Heading2"/>
      </w:pPr>
      <w:r>
        <w:t>Erwägungen</w:t>
      </w:r>
    </w:p>
    <w:p>
      <w:r>
        <w:rPr>
          <w:b/>
        </w:rPr>
        <w:t>E. 1.1</w:t>
      </w:r>
    </w:p>
    <w:p>
      <w:r>
        <w:t>Gemäss Art. 82 lit. c BGG entscheidet das Bundesgericht über Beschwerden, die das Stimmrecht der Bürgerinnen und Bürger sowie die Volkswahlen und -abstimmungen betreffen. Diese Bestimmung ermöglicht die Beschwerde gegen alle Akte, die die politischen Rechte betreffen, auch auf kommunaler Ebene. Die Beschwerde im Bereich der politischen Rechte ermöglicht es dem Bürger insbesondere, sich darüber zu beschweren, dass eine Volksinitiative zu Unrecht der Volksabstimmung entzogen wurde, weil sie von der für diese Prüfung zuständigen Behörde ganz oder teilweise für ungültig erklärt wurde ( BGE 128 I 190 E. 1.1; Urteil 1C_440/2021 vom 28. Februar 2022 E. 1.1).</w:t>
      </w:r>
    </w:p>
    <w:p>
      <w:r>
        <w:t>Die Beschwerde im Bereich der politischen Rechte steht jeder Person zu, die in der fraglichen Angelegenheit stimmberechtigt ist ( Art. 89 Abs. 3 BGG ), auch wenn sie kein eigenes rechtliches Interesse an der Aufhebung des angefochtenen Aktes hat ( BGE 138 I 171 E. 1.3; Urteil 1C_346/2018 vom 4. März 2019 E. 1.1). Der Beschwerdeführer ist in der in der Gemeinde Herisau stimmberechtigt. Seine Legitimation ist somit gegeben. Da auch die übrigen Sachurteilsvoraussetzungen erfüllt sind, ist auf die Beschwerde grundsätzlich einzutreten.</w:t>
      </w:r>
    </w:p>
    <w:p>
      <w:r>
        <w:rPr>
          <w:b/>
        </w:rPr>
        <w:t>E. 1.2</w:t>
      </w:r>
    </w:p>
    <w:p>
      <w:r>
        <w:t>Anfechtbar ist allerdings nur das Urteil des Obergerichts (sog. Devolutiveffekt); dem Antrag des Beschwerdeführers auf Aufhebung auch der Entscheide der Vorinstanz und der Vorvorinstanz kann daher von vornherein nicht stattgegeben werden. Immerhin gelten Entscheide unterer Instanzen als inhaltlich mitangefochten (Urteil des Bundesgerichts 1B_59/2021 vom 18. Oktober 2021 E. 1.2, nicht publiziert in: BGE 148 IV 74 ).</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141 V 234 E. 1 mit Hinweisen).</w:t>
      </w:r>
    </w:p>
    <w:p>
      <w:r>
        <w:t>Bei der Beschwerde in Stimmrechtssachen prüft das Bundesgericht nicht nur die Auslegung von Bundesrecht und kantonalen verfassungsmässigen Rechten mit voller Kognition, sondern auch diejenige anderer kantonaler Vorschriften, die den Inhalt des Stimm- und Wahlrechts normieren oder damit in engem Zusammenhang stehen (vgl. Art. 95 lit. a, lit. c sowie lit. d BGG ).</w:t>
      </w:r>
    </w:p>
    <w:p>
      <w:r>
        <w:rPr>
          <w:b/>
        </w:rPr>
        <w:t>E. 3</w:t>
      </w:r>
    </w:p>
    <w:p>
      <w:r>
        <w:t>Der Beschwerdeführer macht geltend, es werde aus dem Initiativtext völlig willkürlich abgeleitet, es gehe darum zu verhindern, dass in der Gemeinde Herisau weitere Mobilfunkantennen aufgestellt werden können. Jedoch werde lediglich verlangt, dass der Bau weiterer Antennenanlagen auf jene Quartiere beschränkt werden soll, in denen kein zufriedenstellender Empfang gewährleistet ist. Es sei willkürlich, anzunehmen, dass dies zu einem Bauverbot für Mobilfunkantennen führen würde, denn weder die Gemeinde Herisau noch der Kanton Appenzell Ausserrhoden hätten überprüft, ob und wo noch sogenannte Funklöcher bestehen. Der Initiativtext schliesse einen Betrieb innerhalb der vorgeschriebenen Grenzwerte in keiner Weise aus. Die Vereinbarkeit mit dem übergeordneten Recht werde nur durch die willkürliche Behauptung in Frage gestellt, das Volksbegehren wolle die Bewohner auch vor Strahlungswerten schützen, welche innerhalb der erlaubten Grenzwerte liegen, was keineswegs der Fall sei. Es mache Sinn, nicht mehr Antennen aufzustellen, als dazu notwendig sind, um jedem Bewohner einer Gemeinde einen optimalen Empfang zu garantieren. Dies werde von der Initiative zwar nicht wortwörtlich, aber sinngemäss gefordert.</w:t>
      </w:r>
    </w:p>
    <w:p>
      <w:r>
        <w:rPr>
          <w:b/>
        </w:rPr>
        <w:t>E. 3.1</w:t>
      </w:r>
    </w:p>
    <w:p>
      <w:r>
        <w:t>Art. 34 Abs. 1 BV gewährleistet in allgemeiner Weise die politischen Rechte auf Ebene des Bundes, der Kantone und der Gemeinden ( BGE 147 I 120 E. 2.1). Die Bestimmung schützt damit auch das Initiativrecht in kommunalen Angelegenheiten. Mit einer Volksinitiative kann in Gemeinden der Erlass, die Änderung oder die Aufhebung von Reglementen oder Beschlüssen verlangt werden, die dem obligatorischen oder dem fakultativen Referendum unterliegen (Art. 106 Abs. 1 der Verfassung des Kantons Appenzell Ausserrhoden vom 30. April 1995 [KV/AR; SR 131.224.1] und Art. 49 Abs. 1 lit. b des Gesetzes über die politischen Rechte vom 24. April 1988 [GPR/AR; bGS 131.12]). Eine Volksinitiative ist u.a. ungültig, wenn sie dem übergeordneten Recht widerspricht ( Art. 55 Abs. 2 lit. b KV/AR ) und wenn sie undurchführbar ist ( Art. 55 Abs. 2 lit. c KV/AR ).</w:t>
      </w:r>
    </w:p>
    <w:p>
      <w:r>
        <w:t>Die Volksinitiative darf somit nichts enthalten, was gegen übergeordnetes Recht verstösst, sei es kantonales, interkantonales, eidgenössisches oder internationales Recht. Aufgrund des in Art. 49 Abs. 1 BV verankerten Grundsatzes der derogatorischen Kraft des Bundesrechts dürfen die Kantone und Gemeinden in den Bereichen, die durch das Bundesrecht erschöpfend geregelt sind, keine Gesetze erlassen. In den übrigen Bereichen können sie Rechtssätze erlassen, sofern diese nicht gegen Sinn und Geist des Bundesrechts verstossen und dessen Verwirklichung nicht gefährden (vgl. BGE 143 I 129 E. 2.1 und die dort zitierten Urteile).</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147 I 183 E. 6.2 ; 144 I 193 E. 7.3.1 mit Hinweisen). Dies ergibt sich auch aus dem Grundsatz der Verhältnismässigkeit ( Art. 36 Abs. 2 und 3 BV ), demzufolge ein staatlicher Eingriff die Rechte der Bürger so wenig wie möglich beeinträchtigen darf. Ungültigkeitsentscheidungen müssen so weit wie möglich eingeschränkt werden, indem die für die Initianten günstigste Lösung gewählt wird. Dabei ist der Ermessensspielraum der Kontrollinstanz bei der Prüfung einer nicht ausformulierten Initiative in der Form einer allgemeinen Anregung grösser als bei einer Initiative, die als ausformulierter Entwurf verfasst wurde ( BGE 143 I 129 E. 2.2 sowie Urteil 1C_371/2020 vom 9. Februar 2021 E. 3.1).</w:t>
      </w:r>
    </w:p>
    <w:p>
      <w:r>
        <w:rPr>
          <w:b/>
        </w:rPr>
        <w:t>E. 3.2</w:t>
      </w:r>
    </w:p>
    <w:p>
      <w:r>
        <w:t>Mobilfunkanlagen bedürfen nach Bundesrecht grundsätzlich keiner besonderen Planung; sie sind in erster Linie in Bauzonen zu errichten. Entscheidet sich die kantonale oder kommunale Behörde, eine Planung für solche Anlagen zu erstellen, kann diese positiv, negativ oder kaskadenartig sein ( BGE 141 II 245 E. 2.1 mit Hinweisen). Mobilfunkanlagen können zudem den kantonalen oder kommunalen Ästhetik- oder Integrationsvorschriften unterstellt werden. Diese Normen müssen jedoch innerhalb der Grenzen des übergeordneten Rechts - insbesondere des Bundesumweltrechts einerseits und des Fernmelderechts andererseits - angewendet werden: Sie dürfen die im Fernmelderecht verankerten öffentlichen Interessen nicht verletzen und müssen dem Interesse an einem qualitativ guten Mobilfunknetz und an einem wirksamen Wettbewerb zwischen den Mobilfunkanbietern Rechnung tragen. Insbesondere darf die Anwendung von Ästhetik- oder Ortsbildschutznormen die Erfüllung der bundesrechtlichen Versorgungspflicht des Betreibers nicht verunmöglichen oder übermässig erschweren (Art. 1 des Fernmeldegesetzes vom 30. April 1997 [FMG; SR 784.10]; BGE 141 II 245 E. 7.1 und 7.8 mit Hinweisen).</w:t>
      </w:r>
    </w:p>
    <w:p>
      <w:r>
        <w:rPr>
          <w:b/>
        </w:rPr>
        <w:t>E. 4</w:t>
      </w:r>
    </w:p>
    <w:p>
      <w:r>
        <w:t>Die Initiative "Stopp dem Wildwuchs von Mobilfunkantennen" sieht vor, dass neue Mobilfunkanlagen nur noch erstellt werden dürfen, wenn sie zwingend nötig sind, um ein Funkloch zu beheben. Der Begriff "Funkloch" wird dahingehend umschrieben, dass nur dort eine Neuerstellung noch möglich sei, wo bisher keiner aller möglichen Anbieter einen zufriedenstellenden Empfang anbieten könne. Nach Auffassung der Vorinstanz lässt sich dieser Initiativtext nicht bundesrechtskonform umsetzen. Der Beschwerdeführer erachtet dies als willkürlich.</w:t>
      </w:r>
    </w:p>
    <w:p>
      <w:r>
        <w:rPr>
          <w:b/>
        </w:rPr>
        <w:t>E. 4.1</w:t>
      </w:r>
    </w:p>
    <w:p>
      <w:r>
        <w:t>Aufgrund des Textes der Initiative könnte eine neue Mobilfunkanlage somit nur noch dort erstellt werden, wo keiner aller möglichen Anbieter einen zufriedenstellenden Empfang anbieten kann. Damit wären aber in einem Gebiet, wo ein Anbieter einen solchen Empfang ermöglicht, alle anderen Anbieter von einer Neuerstellung ausgeschlossen. Damit würde ein wirksamer Wettbewerb zwischen den Mobilfunkanbietern im Gebiet der Gemeinde Herisau faktisch ausgeschlossen, was gegen Art. 1 Abs. 2 lit. c FMG verstösst. Der Initiativtext mit der Verwendung des Begriffs "Funkloch" und dessen Erläuterung im Initiativtext selbst erlaubt keine bundesrechtskonforme Auslegung der Initiative, da sich aus der Formulierung "keiner aller möglichen Anbieter" klar die Beschränkung auf einen Anbieter, der einen zufriedenstellenden Empfang gewährleistet, ergibt. Der Beschwerdeführer zeigt auch nicht auf, wie eine andere Auslegung, die keine Einschränkung des Wettbewerbs zwischen den Mobilfunkanbietern beinhalten würde, möglich wäre.</w:t>
      </w:r>
    </w:p>
    <w:p>
      <w:r>
        <w:rPr>
          <w:b/>
        </w:rPr>
        <w:t>E. 4.2</w:t>
      </w:r>
    </w:p>
    <w:p>
      <w:r>
        <w:t>Die Initiative würde es den Mobilfunkanbietern auch erheblich erschweren oder gar verunmöglichen, ihrer bundesrechtlich vorgeschriebenen Versorgungspflicht gemäss Art. 1 Abs. 1 sowie Abs. 2 lit. a und lit. b FMG nachzukommen, zumal sie nicht bloss einen zufriedenstellenden Empfang, sondern zuverlässige bzw. qualitativ hochstehende Fernmeldedienste sicherzustellen haben. Letztlich will die Initiative einen vorsorglichen Emissionsschutz auf dem Gebiet der Gemeinde Herisau herbeiführen, der über die Anforderungen der Verordnung über den Schutz vor nichtionisierender Strahlung vom 23. Dezember 1999 (NISV; SR 814.710) hinausgeht. Dies zeigt sich nicht nur aus dem Initiativtext, sondern auch aus der auf dem Unterschriftenbogen abgedruckten Begründung der Initiative, wonach diese gewährleisten solle, dass der Wunsch der Öffentlichkeit, nicht mehr als technisch notwendig bestrahlt zu werden, auch umgesetzt werde. Die Vorinstanz hat unter Verweis auf BGE 133 II 64 zutreffend erkannt, dass sich eine solche Einschränkung nicht bundesrechtskonform umsetzen lässt. In diesem Zusammenhang ist auch das Argument des Beschwerdeführers unbehelflich, die Initiative beabsichtige lediglich, den Bau weiterer Antennenanlagen auf jene Quartiere zu beschränken, in denen kein zufriedenstellender Empfang gewährleistet sei. Eine solche Interpretation lässt sich mit dem Wortlaut der Initiative nicht vereinbaren.</w:t>
      </w:r>
    </w:p>
    <w:p>
      <w:r>
        <w:rPr>
          <w:b/>
        </w:rPr>
        <w:t>E. 4.3</w:t>
      </w:r>
    </w:p>
    <w:p>
      <w:r>
        <w:t>Da sich die Bundesrechtswidrigkeit der Initiative bereits aufgrund der Beschränkung der Neuerstellung von Mobilfunkanlagen ergibt, kann offen gelassen werden, ob die Formulierung, dass die Einschränkung für die Neuerstellung auch für Anlagen gelte, für welches ein Bewilligungsverfahren laufe und für die bis 30. Juni 2020 noch keine letztinstanzlich rechtskräftige Baugenehmigung bestehe, gegen das Rückwirkungsverbot verstösst. Die Vorinstanz hat deswegen die Undurchführbarkeit der Initiative angenommen, dies jedoch nicht im Urteil begründet. Eine Teilungültigerklärung der Volksinitiative (vgl. dazu BGE 139 I 292 E. 7.2.3; Urteil 1C_419/2018 vom 21. Mai 2019 E. 4.1, in: ZBl 122/2021 S. 343) kommt vorliegend nicht in Betracht.</w:t>
      </w:r>
    </w:p>
    <w:p>
      <w:r>
        <w:rPr>
          <w:b/>
        </w:rPr>
        <w:t>E. 5</w:t>
      </w:r>
    </w:p>
    <w:p>
      <w:r>
        <w:t>Die Beschwerde erweist sich als unbegründet und ist abzuweisen, soweit auf sie überhaupt eingetreten werden kann. Das beim Bundesgericht am 31. Oktober 2022 eingegangene Gesuch des Beschwerdeführers um Erlass vorsorglicher Massnahmen wird mit dem Entscheid in der Sache gegenstandslos. Bei diesem Verfahrensausgang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