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1C_49/2016 vom 6. April 2016</w:t>
      </w:r>
    </w:p>
    <w:p>
      <w:r>
        <w:t>Bundesgericht, 2016-04-06, DE</w:t>
      </w:r>
    </w:p>
    <w:p>
      <w:r>
        <w:rPr>
          <w:b/>
        </w:rPr>
        <w:t xml:space="preserve">Quelle: </w:t>
      </w:r>
      <w:r>
        <w:t>https://mcp.opencaselaw.ch/entscheid/bger_1C_49_2016</w:t>
      </w:r>
    </w:p>
    <w:p>
      <w:r>
        <w:t>FR: TF 1C_49/2016 du 6 avril 2016</w:t>
      </w:r>
    </w:p>
    <w:p>
      <w:r>
        <w:t>IT: TF 1C_49/2016 del 6 aprile 2016</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 Die Beschwerdegegner fallen nicht in diese Kategorie.</w:t>
      </w:r>
    </w:p>
    <w:p>
      <w:r>
        <w:rPr>
          <w:b/>
        </w:rPr>
        <w:t>E. 1.3</w:t>
      </w:r>
    </w:p>
    <w:p>
      <w:r>
        <w:t>Zur Beschwerde ist nach Art. 89 Abs. 1 BGG berechtigt, wer vor der Vorinstanz am Verfahren teilgenommen oder keine Möglichkeit zur Teilnahme erhalten hat (lit. a), durch den angefochtenen Entscheid oder Erlass besonders berührt ist (lit. b) und ein schutzwürdiges Interesse an dessen Aufhebung oder Änderung hat (lit. c). Der Beschwerdeführer hat darzulegen, dass die gesetzlichen Legitimationsvoraussetzungen erfüllt sind, soweit dies nicht ohne Weiteres ersichtlich ist ( Art. 42 Abs. 2 BGG , BGE 133 II 400 E. 2 S. 403 f. mit Hinweis).</w:t>
      </w:r>
    </w:p>
    <w:p>
      <w:r>
        <w:rPr>
          <w:b/>
        </w:rPr>
        <w:t>E. 1.4</w:t>
      </w:r>
    </w:p>
    <w:p>
      <w:r>
        <w:t>Der Beschwerdeführer begründet nicht, weshalb er sich zur Beschwerde berechtigt ansieht, und dies ist auch nicht ohne Weiteres ersichtlich. Die erwähnten Deliktsvorwürfe beziehen sich allesamt auf das Verhalten der Beschwerdegegner in separaten Strafverfahren gegen andere Beschuldigte. Der Beschwerdeführer ist der Ansicht, die Staatsanwaltschaft habe Tatvorwürfe gegen jene Beschuldigten fallen gelassen, um ein abgekürztes Verfahren durchführen zu können. Entsprechende Absprachen würden aus einem intensiven E-Mail-Verkehr hervorgehen, welcher jedoch in der Folge weitgehend gelöscht worden sei.</w:t>
      </w:r>
    </w:p>
    <w:p>
      <w:r>
        <w:t>Der Beschwerdeführer selbst ist von den erhobenen Deliktsvorwürfen nicht direkt betroffen (vgl. dazu Urteile 1C_344/2012 vom 21. Oktober 2012 E. 1.4; 1C_382/2012 vom 10. Oktober 2012 E. 2.6; je mit Hinweisen). Im Rahmen seiner Beschwerdebegründung geht er zwar davon aus, dass die Begünstigung von anderen Beschuldigten ihm gegenüber "automatisch" zu einer massiven Mehrbelastung führe. Dies liegt indessen nicht auf der Hand und wird vom Beschwerdeführer auch nicht näher begründet. Insbesondere macht er auch nicht geltend, im gegen ihn geführten Strafverfahren seien entsprechende Unregelmässigkeiten vorgekommen. Unter diesen Umständen ist nicht ersichtlich, inwiefern dem Beschwerdeführer im Falle des Obsiegens ein praktischer Nutzen entstehen könnte. Auf die Beschwerde ist deshalb nicht einzutreten.</w:t>
      </w:r>
    </w:p>
    <w:p>
      <w:r>
        <w:rPr>
          <w:b/>
        </w:rPr>
        <w:t>E. 1.5</w:t>
      </w:r>
    </w:p>
    <w:p>
      <w:r>
        <w:t>Obwohl der Beschwerdeführer in der Sache selbst nicht legitimiert ist, kann er vor Bundesgericht geltend machen, im kantonalen Verfahren in seinen Parteirechten verletzt worden zu sein. Allerdings kann auf diesem Weg keine (indirekte) Überprüfung des Entscheids in der Hauptsache erlangt werden. Nicht einzutreten ist daher auf formelle Rügen, deren Beurteilung von der Prüfung in der Sache selbst nicht getrennt werden kann ( BGE 129 I 217 E. 1.4 S. 222; Urteil 1C_700/2013 11. März 2014 E. 3, in: URP 2014 S. 282; je mit Hinweisen).</w:t>
      </w:r>
    </w:p>
    <w:p>
      <w:r>
        <w:t>Der Beschwerdeführer macht eine Verletzung von Parteirechten geltend, indem er rügt, die Vorinstanz sei teilweise von einer rechtskräftig beurteilten Angelegenheit ausgegangen und habe ihm zu Unrecht die unentgeltliche Rechtspflege wegen Aussichtslosigkeit seiner Begehren verwehrt. Diese Kritik kann von einer Prüfung in der Sache selbst jedoch nicht getrennt werden, weshalb auch insofern nicht auf die Beschwerde einzutreten ist (vgl. Urteil 1B_543/2011 vom 29. November 2011 E. 1.3).</w:t>
      </w:r>
    </w:p>
    <w:p>
      <w:r>
        <w:rPr>
          <w:b/>
        </w:rPr>
        <w:t>E. 2</w:t>
      </w:r>
    </w:p>
    <w:p>
      <w:r>
        <w:t>Auf die Beschwerde ist aus den genannten Gründen nicht einzutreten.</w:t>
      </w:r>
    </w:p>
    <w:p>
      <w:r>
        <w:t>Dem Gesuch um unentgeltliche Rechtspflege kann wegen Aussichtslosigkeit der Vorbringen nicht entsprochen werden (vgl. Art. 64 Abs. 1 BGG ). Die Gerichtskosten sind deshalb dem Beschwerdeführer aufzuerlegen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