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499/2022 vom 24. April 2023</w:t>
      </w:r>
    </w:p>
    <w:p>
      <w:r>
        <w:t>Bundesgericht, 2023-04-24, DE</w:t>
      </w:r>
    </w:p>
    <w:p>
      <w:r>
        <w:rPr>
          <w:b/>
        </w:rPr>
        <w:t xml:space="preserve">Quelle: </w:t>
      </w:r>
      <w:r>
        <w:t>https://mcp.opencaselaw.ch/entscheid/bger_1C_499_2022</w:t>
      </w:r>
    </w:p>
    <w:p>
      <w:r>
        <w:t>FR: TF 1C 499/2022 du 24 avril 2023</w:t>
      </w:r>
    </w:p>
    <w:p>
      <w:r>
        <w:t>IT: TF 1C 499/2022 del 24 aprile 2023</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Beim angefochtenen Entscheid handelt es sich um einen kantonal letztinstanzlichen Entscheid in einer Bausache, gegen den grundsätzlich die Beschwerde in öffentlich-rechtlichen Angelegenheiten nach Art. 82 ff. BGG offensteht ( BGE 138 II 331 E. 1.1; Urteil 1C_288/2020 vom 28. April 2021 E. 1.2). Die Beschwerdeführenden haben am vorinstanzlichen Verfahren teilgenommen und sind als Eigentümer von unmittelbar an das Baugrundstück angrenzenden Liegenschaften besonders betroffen und damit zur Beschwerde legitimiert ( Art. 89 Abs. 1 BGG ). Näher zu prüfen ist, ob es sich beim angefochtenen Urteil um einen anfechtbaren Entscheid im Sinne von Art. 90 ff. BGG handelt.</w:t>
      </w:r>
    </w:p>
    <w:p>
      <w:r>
        <w:rPr>
          <w:b/>
        </w:rPr>
        <w:t>E. 1.2</w:t>
      </w:r>
    </w:p>
    <w:p>
      <w:r>
        <w:t>Gemäss Art. 90 und 91 BGG ist die Beschwerde gegen End- und Teilentscheide zulässig. Gegen Vor- und Zwischenentscheide ist die Beschwerde nur nach den Voraussetzungen der Art. 92 und 93 BGG zulässig. 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selbst wenn damit über materielle Teilaspekte der Streitsache, nicht aber über eines der Beschwerdebegehren abschliessend befunden wird (vgl. BGE 142 II 20 E. 1.4; 134 II 137 E. 1.3.2). Anders verhält es sich, wenn der unteren Instanz, an welche zurückgewiesen wird, kein Entscheidungsspielraum mehr verbleibt und die Rückweisung nur noch der Umsetzung des oberinstanzlich Angeordneten dient ( BGE 144 III 253 E. 1.4; 142 II 20 E. 1.2 ; 138 I 143 E. 1.2).</w:t>
      </w:r>
    </w:p>
    <w:p>
      <w:r>
        <w:rPr>
          <w:b/>
        </w:rPr>
        <w:t>E. 1.3</w:t>
      </w:r>
    </w:p>
    <w:p>
      <w:r>
        <w:t>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339 E. 3.2; Urteil 1C_288/2020 vom 28. April 2021 E. 1.4). Anders verhält es sich lediglich dann, wenn durch den Entscheid der letzten kantonalen Instanz ein Zwischenentscheid der ersten Instanz umgestossen und das Verfahren vor dieser dadurch abgeschlossen wird ( BGE 139 V 604 E. 2.1, 339 E. 3.2; Urteil 1C_288/2020 vom 28. April 2021 E. 1.4). Die dargestellte Rechtsprechung entspricht dem gesetzgeberischen Willen, wonach die Eintretensvoraussetzungen von Art. 93 Abs. 1 BGG das Bundesgericht entlasten sollen; dieses soll sich möglichst nur einmal mit einer Sache befassen ( BGE 142 II 363 E. 1.3 mit Hinweisen).</w:t>
      </w:r>
    </w:p>
    <w:p>
      <w:r>
        <w:rPr>
          <w:b/>
        </w:rPr>
        <w:t>E. 1.4</w:t>
      </w:r>
    </w:p>
    <w:p>
      <w:r>
        <w:t>Das Verwaltungsgericht hat selbst keinen Rückweisungsentscheid getroffen, sondern schützte den Entscheid des Baurekursgerichts. Dieses ergänzte den Beschluss der Planungs- und Baukommission Richterswil um die Auflage, dass die Bauherrschaft der Baubehörde vor Baubeginn revidierte Pläne zur Bewilligung einzureichen habe, aus denen hervorgehe, dass der Grenzabstand und die Ausnützungsziffer eingehalten seien. Auf die lärmrechtlichen Rügen der Beschwerdeführenden trat das Baurekursgericht nicht ein. Mit dem Nichteintreten auf die lärmrechtlichen Rügen entfällt für die Beschwerdeführenden die Möglichkeit, sich für das weiterlaufende Verfahren vor der Planungs- und Baukommission Richterswil auf diese zu berufen. Damit wurde jedoch über ihr ursprüngliches Beschwerdebegehren selbst, mit welchem die Beschwerdeführenden die Aufhebung der Baubewilligung verlangten, noch nicht abschliessend entschieden, sondern lediglich einer von mehreren Beschwerdegründen ausgeschlossen (vgl. BGE 136 II 165 E. 1.1). Über die Baubewilligung selbst hat die Planungs- und Baukommission Richterswil noch zu entscheiden, wobei ihr auch ein gewisser Ermessensspielraum verbleibt. Ausgehend von den genannten Grundsätzen ist der Entscheid des Baurekursgerichts deshalb als Zwischenentscheid zu qualifizieren. Nachdem das Verwaltungsgericht die dagegen erhobene Beschwerde abgewiesen hat, stellt der angefochtene Entscheid im Lichte der zitierten Rechtsprechung ebenfalls einen Zwischenentscheid im Sinne von Art. 93 BGG dar.</w:t>
      </w:r>
    </w:p>
    <w:p>
      <w:r>
        <w:rPr>
          <w:b/>
        </w:rPr>
        <w:t>E. 2</w:t>
      </w:r>
    </w:p>
    <w:p>
      <w:r>
        <w:t>Nach dem Dargelegten bleibt zu prüfen, ob das Urteil des Verwaltungsgerichts unter den Voraussetzungen von Art. 93 BGG anfechtbar ist.</w:t>
      </w:r>
    </w:p>
    <w:p>
      <w:r>
        <w:rPr>
          <w:b/>
        </w:rPr>
        <w:t>E. 2.1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Nach konstanter Rechtsprechung haben die Rechtsuchenden im Einzelnen darzulegen, inwiefern die Beschwerdevoraussetzungen nach Art. 93 Abs. 1 BGG erfüllt sind, ansonsten auf die Beschwerde mangels hinreichender Begründung nicht einzutreten ist ( BGE 137 III 324 E. 1.1; 136 IV 92 E. 4; je mit Hinweisen).</w:t>
      </w:r>
    </w:p>
    <w:p>
      <w:r>
        <w:rPr>
          <w:b/>
        </w:rPr>
        <w:t>E. 2.2</w:t>
      </w:r>
    </w:p>
    <w:p>
      <w:r>
        <w:t>Die Beschwerdeführenden legen nicht dar, inwiefern ihnen aufgrund des angefochtenen Entscheids ein nicht wieder gutzumachender Nachteil im Sinne von Art. 93 Abs. 1 lit. a BGG entstehen könnte. Ein solcher ist vorliegend auch nicht ersichtlich. Da das Bundesgericht mangels festgestelltem Sachverhalt betreffend die lärmrechtlichen Rügen keinen Endentscheid fällen könnte und den Entscheid an die Vorinstanz zurückweisen müsste (vgl. dazu BGE 134 III 426 E. 1.3.2; 133 III 634 E. 1.1), ist die Beschwerde auch unter dem Blickwinkel von Art. 93 Abs. 1 lit. b BGG unzulässig. Es steht den Beschwerdeführenden jedoch offen, einen allfälligen für sie ungünstigen Endentscheid betreffend die Baubewilligung anzufechten. Diesfalls können sie das vorliegend fragliche Urteil des Verwaltungsgerichts zusammen mit dem Endentscheid anfechten, soweit es sich auf dessen Inhalt auswirkt ( Art. 93 Abs. 3 BGG ).</w:t>
      </w:r>
    </w:p>
    <w:p>
      <w:r>
        <w:rPr>
          <w:b/>
        </w:rPr>
        <w:t>E. 2.3</w:t>
      </w:r>
    </w:p>
    <w:p>
      <w:r>
        <w:t>Die Voraussetzungen von Art. 93 Abs. 1 BGG sind nicht erfüllt und auf die Beschwerde ist somit nicht einzutreten.</w:t>
      </w:r>
    </w:p>
    <w:p>
      <w:r>
        <w:rPr>
          <w:b/>
        </w:rPr>
        <w:t>E. 3</w:t>
      </w:r>
    </w:p>
    <w:p>
      <w:r>
        <w:t>Bei diesem Verfahrensausgang tragen die unterliegenden Beschwerdeführenden die Gerichtskosten unter solidarischer Haftung ( Art. 66 Abs. 1 und 5 BGG ). Die Beschwerdegegnerin verzichtete auf eine Vernehmlassung und hatte keinen nennenswerten Aufwand, weshalb ihr keine Parteientschädigung zuzusprechen ist ( Art. 68 Abs. 1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