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1C_497/2016 vom 27. Oktober 2016</w:t>
      </w:r>
    </w:p>
    <w:p>
      <w:r>
        <w:t>Bundesgericht, 2016-10-27, DE</w:t>
      </w:r>
    </w:p>
    <w:p>
      <w:r>
        <w:rPr>
          <w:b/>
        </w:rPr>
        <w:t xml:space="preserve">Quelle: </w:t>
      </w:r>
      <w:r>
        <w:t>https://mcp.opencaselaw.ch/entscheid/bger_1C_497_2016</w:t>
      </w:r>
    </w:p>
    <w:p>
      <w:r>
        <w:t>FR: TF 1C_497/2016 du 27 octobre 2016</w:t>
      </w:r>
    </w:p>
    <w:p>
      <w:r>
        <w:t>IT: TF 1C_497/2016 del 27 ottobre 2016</w:t>
      </w:r>
    </w:p>
    <w:p>
      <w:pPr>
        <w:pStyle w:val="Heading2"/>
      </w:pPr>
      <w:r>
        <w:t>Erwägungen</w:t>
      </w:r>
    </w:p>
    <w:p>
      <w:r>
        <w:rPr>
          <w:b/>
        </w:rPr>
        <w:t>E. 1</w:t>
      </w:r>
    </w:p>
    <w:p>
      <w:r>
        <w:t>Das Verwaltungsgericht des Kantons Aargau wies mit Urteil vom 14. Juli 2016 eine Beschwerde von A.________ in Sachen vorsorglicher Führerausweisentzug ab, soweit es darauf eintrat.</w:t>
      </w:r>
    </w:p>
    <w:p>
      <w:r>
        <w:rPr>
          <w:b/>
        </w:rPr>
        <w:t>E. 2</w:t>
      </w:r>
    </w:p>
    <w:p>
      <w:r>
        <w:t>A.________ führt mit Eingabe vom 21. Oktober 2016 Beschwerde in öffentlich-rechtlichen Angelegenheiten gegen das Urteil des Verwaltungsgerichts des Kantons Aargau vom 14. Juli 2016. Das Bundesgericht verzichtet auf die Einholung von Vernehmlassungen.</w:t>
      </w:r>
    </w:p>
    <w:p>
      <w:r>
        <w:rPr>
          <w:b/>
        </w:rPr>
        <w:t>E. 3</w:t>
      </w:r>
    </w:p>
    <w:p>
      <w:r>
        <w:t>Die Frist zur Einreichung der Beschwerde beim Bundesgericht beträgt 30 Tage nach der Eröffnung des angefochtenen Urteils ( Art. 100 BGG ). Der Beschwerdeführer hat das angefochtene Urteil am 26. Juli 2016 erhalten. Die 30-tägige Beschwerdefrist begann aufgrund des Fristenstillstandes gemäss Art. 46 BGG am 16. August 2016 zu laufen und endete am 14. September 2016. Die Beschwerde vom 21. Oktober 2016 wäre somit verspätet erhoben worden. Es bleibt zu prüfen, ob dem vom Beschwerdeführer gestellten Fristwiederherstellungsgesuch entsprochen werden kann.</w:t>
      </w:r>
    </w:p>
    <w:p>
      <w:r>
        <w:rPr>
          <w:b/>
        </w:rPr>
        <w:t>E. 4.1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rPr>
          <w:b/>
        </w:rPr>
        <w:t>E. 4.2</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4.3</w:t>
      </w:r>
    </w:p>
    <w:p>
      <w:r>
        <w:t>Der Beschwerdeführer beruft sich auf "starke Gesundheitsprobleme". Er legt indessen nicht dar, um was für einen Krankheitszustand es sich dabei gehandelt haben sollte und für welchen Zeitraum ihm jegliches auf Fristwahrung gerichtetes Handeln verunmöglicht gewesen wäre. Ein vom Beschwerdeführer eingereichter "Beleg für den Arztbesuch" ist mit dem Datum vom 10. Mai 2016 versehen und vermag nicht zu belegen, dass eine fristgerechte Beschwerdeführung nicht möglich gewesen sein soll. Aus den Ausführungen des Beschwerdeführers ergibt sich nicht, weshalb es ihm nicht möglich gewesen sein soll, rechtzeitig eine Beschwerde einzureichen oder eine Drittperson mit der Vornahme der Prozesshandlung zu betrauen. Das Fristwiederherstellungsgesuch ist abzuweisen.</w:t>
      </w:r>
    </w:p>
    <w:p>
      <w:r>
        <w:rPr>
          <w:b/>
        </w:rPr>
        <w:t>E. 5</w:t>
      </w:r>
    </w:p>
    <w:p>
      <w:r>
        <w:t>Auf die verspätet eingereichte Beschwerde ist somit im vereinfachten Verfahren nach Art. 108 Abs. 1 BGG nicht einzutreten.</w:t>
      </w:r>
    </w:p>
    <w:p>
      <w:r>
        <w:rPr>
          <w:b/>
        </w:rPr>
        <w:t>E. 6</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