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1C_496/2013 vom 29. November 2013</w:t>
      </w:r>
    </w:p>
    <w:p>
      <w:r>
        <w:t>Bundesgericht, 2013-11-29, FR</w:t>
      </w:r>
    </w:p>
    <w:p>
      <w:r>
        <w:rPr>
          <w:b/>
        </w:rPr>
        <w:t xml:space="preserve">Quelle: </w:t>
      </w:r>
      <w:r>
        <w:t>https://mcp.opencaselaw.ch/entscheid/bger_1C_496_2013</w:t>
      </w:r>
    </w:p>
    <w:p>
      <w:r>
        <w:t>FR: TF 1C_496/2013 du 29 novembre 2013</w:t>
      </w:r>
    </w:p>
    <w:p>
      <w:r>
        <w:t>IT: TF 1C_496/2013 del 29 novembre 2013</w:t>
      </w:r>
    </w:p>
    <w:p>
      <w:pPr>
        <w:pStyle w:val="Heading2"/>
      </w:pPr>
      <w:r>
        <w:t>Erwägungen</w:t>
      </w:r>
    </w:p>
    <w:p>
      <w:r>
        <w:rPr>
          <w:b/>
        </w:rPr>
        <w:t>E. 1</w:t>
      </w:r>
    </w:p>
    <w:p>
      <w:r>
        <w:t>Les résidences secondaires constituent au maximum 20 % du parc des logements et de la surface brute au sol habitable de chaque commune.</w:t>
      </w:r>
    </w:p>
    <w:p>
      <w:r>
        <w:rPr>
          <w:b/>
        </w:rPr>
        <w:t>E. 2</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de l'accomplissement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(même arrêt, consid. 11.2).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t>Le Tribunal fédéral a par ailleurs admis dans un deuxième arrêt de principe que l' art. 75b Cst. (en relation avec l' art. 197 ch. 9 al. 2 Cst. ) est directement applicable dès son entrée en vigueur le 11 mars 2012 ( ATF 139 II 243 ).</w:t>
      </w:r>
    </w:p>
    <w:p>
      <w:r>
        <w:t>En effet, l' art. 197 ch. 9 al. 2 Cst. ne précisant pas quelles communes sont visées, il ne peut être lu qu'à la lumière de l' art. 75b Cst. Dans la mesure où la disposition transitoire prévoit la nullité des permis de construire délivrés entre le 1er janvier 2013 et la date d'entrée en vigueur de la législation d'exécution, il apparaît que ces deux dispositions sont d'applicabilité directe (consid. 9.1). Le titre de l'initiative, le message du Conseil fédéral et les explications fournies avec le matériel de vote confirment cette interprétation, les discussions ayant toujours mis en avant le moratoire brutal que l'acceptation de l'initiative impliquerait (consid. 9.2). S'agissant de la période ayant couru entre l'acceptation de l'initiative populaire le 11 mars 2012 et le 1er janvier 2013, il apparaît que les champs d'application matériel et spatial de l' art. 75b Cst. sont suffisamment définis: dans la plupart des cas, la notion de résidence secondaire, qui figure dans d'autres dispositions légales, ne prête pas à confusion et, en cas de doute, il y a lieu de lui donner préventivement une interprétation large, la restriction à la garantie de la propriété n'étant que temporaire (le législateur ayant pour mandat de légiférer d'ici au 11 mars 2014); s'agissant des communes visées, le registre fédéral des bâtiments et des logements et le recensement fédéral de 2000 permettent de les déterminer, à tout le moins provisoirement (consid. 10). Selon les principes généraux du droit, la disposition constitutionnelle est applicable à toutes les autorisations de construire délivrées après son entrée en vigueur et les décisions non conformes à cette disposition sont annulables. Si, dès le 1er janvier 2013, l' art. 197 ch. 9 al. 2 Cst. aggrave l'effet juridique de la non-conformité au droit par la nullité, avant cette date, la sanction des autorisations de construire inconstitutionnelles demeure l'annulabilité (consid. 11.1-11.3). Cette solution, qui correspond aux sens et but de l' art. 75b Cst. , est corroborée par les déclarations des autorités fédérales et des opposants avant la votation (consid. 11.4-11.5).</w:t>
      </w:r>
    </w:p>
    <w:p>
      <w:r>
        <w:t>Enfin, dans un troisième arrêt rendu le 22 mai 2013 ( ATF 139 II 263 ), le Tribunal fédéral a jugé que la date déterminante pour l'application de l' art. 75b Cst. était celle de la délivrance du permis de construire. L'autorité appliquant le droit en vigueur au jour où elle statue, la nouvelle disposition est en principe contraignante pour toute autorisation délivrée après le 11 mars 2012, quelle que soit la date à laquelle la demande a été déposée. Alors qu'un permis délivré après le 1er janvier 2013 est nul en vertu de l' art. 197 ch. 9 al. 2 Cst. , un permis délivré avant cette date mais après le 11 mars 2012 est annulable. Il y a bien évidemment lieu de réserver les cas de figure particuliers de la protection de la confiance ou du déni de justice (consid. 7). Dans la mesure où la demande de permis a été déposée peu avant la date de la votation, les requérants devaient compter avec le risque que la disposition constitutionnelle soit adoptée et devienne dès lors applicable à leur projet de construction (consid. 8).</w:t>
      </w:r>
    </w:p>
    <w:p>
      <w:r>
        <w:t>Dans les communes où le taux de 20% de résidences secondaires est déjà atteint, les permis de construire concernant ces dernières délivrés entre le 11 mars 2012 et le 31 décembre 2012 sont ainsi annulables.</w:t>
      </w:r>
    </w:p>
    <w:p>
      <w:r>
        <w:rPr>
          <w:b/>
        </w:rPr>
        <w:t>E. 3</w:t>
      </w:r>
    </w:p>
    <w:p>
      <w:r>
        <w:t>En l'espèce, les permis de construire ont été délivrés après l'entrée en vigueur des art. 75b et 197 ch. 9 Cst. Il n'est pas contesté que les constructions prévues sont des résidences secondaires, ni que le parc des logements de la commune concernée comporte plus de 20% de résidences secondaires. Dans ces circonstances, les permis de construire doivent être annulés et la demande de permis de construire définitivement rejetée, conformément aux principes rappelés ci-dessus.</w:t>
      </w:r>
    </w:p>
    <w:p>
      <w:r>
        <w:rPr>
          <w:b/>
        </w:rPr>
        <w:t>E. 4</w:t>
      </w:r>
    </w:p>
    <w:p>
      <w:r>
        <w:t>Compte tenu de l'issue de la cause, les frais judiciaires sont mis à la charge des intimés qui succombent ( art. 66 al. 1 LTF ). La recourante, qui a agi sans avocat (le mémoire n'est signé que par son seul président), n'a pas droit à des dépens pour la procédure devant le Tribunal fédéral. Il y a lieu également, conformément aux art. 67 et 68 al. 5 LTF , de fixer les frais et dépens pour la procédure devant le Tribunal cantonal. Les constructeurs n'avaient pas été appelés à procéder devant cette instance mais, compte tenu de ce qui précède, la cour cantonale aurait dû statuer en leur défaveur, ce qui justifie la mise à leur charge des frais de justice. En instance cantonale, la recourante était représentée par un avocat, ce qui lui donne droit à des dépens. Au vu du grand nombre de recours similaires déposés par la recourante, il convient de réduire ceux-ci et de les fixer à 1'000 fr.</w:t>
      </w:r>
    </w:p>
    <w:p>
      <w:r>
        <w:t>Enfin, la cause doit être renvoyée à la commune de Château-d'Oex, pour qu'elle statue sur les frais de la procédure communale d'autorisation de construire et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