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1C_494/2022 vom 9. Mai 2023</w:t>
      </w:r>
    </w:p>
    <w:p>
      <w:r>
        <w:t>Bundesgericht, 2023-05-09, FR</w:t>
      </w:r>
    </w:p>
    <w:p>
      <w:r>
        <w:rPr>
          <w:b/>
        </w:rPr>
        <w:t xml:space="preserve">Quelle: </w:t>
      </w:r>
      <w:r>
        <w:t>https://mcp.opencaselaw.ch/entscheid/bger_1C_494_2022</w:t>
      </w:r>
    </w:p>
    <w:p>
      <w:r>
        <w:t>FR: TF 1C_494/2022 du 9 mai 2023</w:t>
      </w:r>
    </w:p>
    <w:p>
      <w:r>
        <w:t>IT: TF 1C_494/2022 del 9 maggio 2023</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tous propriétaires d'une parcelle voisine du projet litigieux, sont particulièrement touchés par l'arrêt attaqué qui confirme l'octroi des autorisations de démolir et de construire litigieuses; ils ont un intérêt digne de protection à sa modification ou à son annulation; ils bénéficient partant de la qualité pour recourir au sens de l' art. 89 al. 1 LTF . Les autres conditions de recevabilité étant au surplus réunies, il convient d'entrer en matière.</w:t>
      </w:r>
    </w:p>
    <w:p>
      <w:r>
        <w:rPr>
          <w:b/>
        </w:rPr>
        <w:t>E. 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142 II 369 consid. 2.1). 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En outre, pour qu'une décision soit annulée au titre de l'arbitraire, il ne suffit pas qu'elle se fonde sur une motivation insoutenable; encore faut-il qu'elle apparaisse arbitraire dans son résultat ( ATF 144 III 368 consid. 3.1 et les arrêts cités).</w:t>
      </w:r>
    </w:p>
    <w:p>
      <w:r>
        <w:rPr>
          <w:b/>
        </w:rPr>
        <w:t>E. 3</w:t>
      </w:r>
    </w:p>
    <w:p>
      <w:r>
        <w:t>Dans un premier argument, les recourants soutiennent que la piscine doit être comptabilisée dans le calcul des CDPI. Ils se plaignent d'une application arbitraire de l'art. 3 al. 3 RCI.</w:t>
      </w:r>
    </w:p>
    <w:p>
      <w:r>
        <w:rPr>
          <w:b/>
        </w:rPr>
        <w:t>E. 3.1</w:t>
      </w:r>
    </w:p>
    <w:p>
      <w:r>
        <w:t>Aux termes de l' art. 3 al. 3 1 ère phrase RCI, sont réputées constructions de peu d'importance (CDPI), à la condition qu'elles ne servent ni à l'habitation, ni à l'exercice d'une activité commerciale, industrielle ou artisanale, celles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 ème phrase). Dans tous les cas, la surface totale des CDPI ne doit pas excéder 8% de la surface de la parcelle et au maximum 100 m2 (3 ème phrase).</w:t>
      </w:r>
    </w:p>
    <w:p>
      <w:r>
        <w:t>Les CDPI prévues à l'art. 3 al. 3 RCI font l'objet d'une directive du Département du 3 février 2014, modifiée les 10 mars 2017 et 9 mars 2021. Il en ressort que les types de constructions pouvant être considérés comme des CDPI sont les "garages, ateliers non professionnels, couverts à voitures, couverts de plaisance, couverts à bois, abris ou cabanes de jardin,</w:t>
      </w:r>
    </w:p>
    <w:p>
      <w:r>
        <w:t>pool house ".</w:t>
      </w:r>
    </w:p>
    <w:p>
      <w:r>
        <w:rPr>
          <w:b/>
        </w:rPr>
        <w:t>E. 3.2</w:t>
      </w:r>
    </w:p>
    <w:p>
      <w:r>
        <w:t>En l'espèce, s'agissant de la piscine préexistante, la Cour de justice a considéré qu'elle ne pouvait être qualifiée de CDPI, d'une part, parce que sa surface dépassait les 50 m2 et, d'autre part, parce qu'elle ne constituait pas une construction selon la définition donnée à l'art. 3 al. 3 RCI pour les CDPI. Contrairement aux allégations des recourants sur ce point, l'autorité précédente a adopté une double motivation. D'une part, elle a considéré que la piscine avait une surface supérieure à 50 m2; d'autre part, elle a estimé qu'étant dépourvue de couvert, elle ne pouvait satisfaire à la deuxième condition prévue par l'art. 3 al. 3 RCI, à savoir s'inscrire dans un gabarit délimité par une ligne verticale, par une ligne oblique faisant un angle de 30° avec l'horizontale partant du sommet de la ligne verticale, et par une ligne horizontale de faîtage. Elle s'est référée à cet égard à une jurisprudence cantonale relative à des aménagements extérieurs non couverts. La prétendue violation de l'égalité de traitement entre les propriétaires d'une piscine de moins de 50 m2 et ceux d'une piscine de plus de 50 m2 n'est ainsi pas réalisée puisque tous les propriétaires d'une piscine extérieure non couverte, quelle que soit sa surface, voient leur piscine exclue du champ d'application de l'art. 3 al. 3 RCI.</w:t>
      </w:r>
    </w:p>
    <w:p>
      <w:r>
        <w:t>Par ailleurs, l'argumentation des recourants selon laquelle la limite de 50 m2 ne serait pas absolue n'est pas pertinente dans la mesure où, comme l'a démontré sans arbitraire la Cour de justice, l'absence de couvert sur la piscine exclut l'application de l'art. 3 al. 3 RCI. La Cour de justice a retenu, conformément au texte légal, que la piscine extérieure non couverte ne répondait pas à la définition d'une CDPI. On ne voit pas en quoi elle aurait ainsi fait preuve d'arbitraire dans l'application de cette norme cantonale.</w:t>
      </w:r>
    </w:p>
    <w:p>
      <w:r>
        <w:rPr>
          <w:b/>
        </w:rPr>
        <w:t>E. 4</w:t>
      </w:r>
    </w:p>
    <w:p>
      <w:r>
        <w:t>Les recourants soutiennent aussi que la piscine non couverte aurait dû être comptabilisée dans le calcul de la surface de plancher habitable au sens de l'art. 59 al. 4 a LCI.</w:t>
      </w:r>
    </w:p>
    <w:p>
      <w:r>
        <w:rPr>
          <w:b/>
        </w:rPr>
        <w:t>E. 4.1</w:t>
      </w:r>
    </w:p>
    <w:p>
      <w:r>
        <w:t>L'art. 59 al. 4 let. a LCI prévoit que, dans les périmètres de densification accrue définis par un plan directeur communal approuvé par le Conseil d'Etat et lorsque cette mesure est compatible avec le caractère, l'harmonie et l'aménagement du quartier, le Département peut autoriser, après la consultation de la commune et de la commission d'architecture, un projet de construire en ordre contigu ou sous forme d'habitat groupé dont la surface de plancher habitable n'excède pas 44% de la surface du terrain, 48% lorsque la construction est conforme à un standard de très haute performance énergétique (THPE) reconnue comme telle par le service compétent. La notion de surface de plancher est définie à l'art. 59 al. 2 LCI comme étant la surface brute de plancher de la totalité de la construction hors sol.</w:t>
      </w:r>
    </w:p>
    <w:p>
      <w:r>
        <w:rPr>
          <w:b/>
        </w:rPr>
        <w:t>E. 4.2</w:t>
      </w:r>
    </w:p>
    <w:p>
      <w:r>
        <w:t>En invoquant une violation de l'art. 59 al. 4 LCI au motif que la piscine n'est comptabilisée dans aucune surface de construction, les recourants invoquent un nouveau grief. La LTF ne prévoit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 Toutefois, ce nouveau grief, à savoir une application arbitraire de l'art. 59 a. 4 LCI, est irrecevable en application de l' art. 106 LTF .</w:t>
      </w:r>
    </w:p>
    <w:p>
      <w:r>
        <w:t>En effet, les recourants n'indiquent pas quelle serait la règle de droit cantonal qui imposerait de comptabiliser la surface de la piscine dans le calcul de la surface de plancher habitable au sens de l'art. 59 al. 4 let. a LCI. Cette dernière disposition ne définit pas la notion de surface de plancher habitable en tant que telle, mais fixe des maxima de surface de plancher habitable. On ne discerne pas en quoi l'application de l'art. 59 al. 4 let. a LCI serait entachée d'arbitraire; du moins les recourants ne parviennent pas à démontrer qu'il serait insoutenable d'exclure la surface d'une piscine extérieure du calcul de la surface</w:t>
      </w:r>
    </w:p>
    <w:p>
      <w:r>
        <w:t>habitable . Il appartient en effet à la partie recourante d'indiquer avec précision la règle juridique qu'elle invoque et de démontrer en quoi celle-ci aurait à ses yeux été violée (cf. ATF 148 I 127 consid. 4.3). Cela étant, on soulignera - ce que les recourants se gardent de mentionner - que l'art. 59 al. 2 LCI définit la surface brute de plancher comme étant la totalité de la construction hors sol. Cette définition exclut du calcul de la surface de plancher, la surface de la piscine puisque celle-ci ne dépasse pas le niveau du sol.</w:t>
      </w:r>
    </w:p>
    <w:p>
      <w:r>
        <w:t>Partant, ce grief est irrecevable.</w:t>
      </w:r>
    </w:p>
    <w:p>
      <w:r>
        <w:rPr>
          <w:b/>
        </w:rPr>
        <w:t>E. 5</w:t>
      </w:r>
    </w:p>
    <w:p>
      <w:r>
        <w:t>Les considérants qui précèdent conduisent au rejet du recours dans la mesure de sa recevabilité, aux frais des recourants, qui succombent ( art. 66 al. 1 et al. 5 LTF ). Ceux-ci verseront en outre une indemnité de dépens à l'intimé H.________,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