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494/2011 vom 31. Juli 2012</w:t>
      </w:r>
    </w:p>
    <w:p>
      <w:r>
        <w:t>Bundesgericht, 2012-07-31, FR</w:t>
      </w:r>
    </w:p>
    <w:p>
      <w:r>
        <w:rPr>
          <w:b/>
        </w:rPr>
        <w:t xml:space="preserve">Quelle: </w:t>
      </w:r>
      <w:r>
        <w:t>https://mcp.opencaselaw.ch/entscheid/bger_1C_494_2011</w:t>
      </w:r>
    </w:p>
    <w:p>
      <w:r>
        <w:t>FR: TF 1C 494/2011 du 31 juillet 2012</w:t>
      </w:r>
    </w:p>
    <w:p>
      <w:r>
        <w:t>IT: TF 1C 494/2011 del 31 luglio 2012</w:t>
      </w:r>
    </w:p>
    <w:p>
      <w:pPr>
        <w:pStyle w:val="Heading2"/>
      </w:pPr>
      <w:r>
        <w:t>Regeste</w:t>
      </w:r>
    </w:p>
    <w:p>
      <w:r>
        <w:t>retrait du permis de conduire | Construction des routes et circulation routière</w:t>
      </w:r>
    </w:p>
    <w:p>
      <w:pPr>
        <w:pStyle w:val="Heading2"/>
      </w:pPr>
      <w:r>
        <w:t>Erwägungen</w:t>
      </w:r>
    </w:p>
    <w:p>
      <w:r>
        <w:rPr>
          <w:b/>
        </w:rPr>
        <w:t>E. 1</w:t>
      </w:r>
    </w:p>
    <w:p>
      <w:r>
        <w:t>La voie du recours en matière de droit public, au sens des art. 82 ss LTF , est ouverte contre une décision de dernière instance cantonale relative à une mesure administrative de retrait du permis de conduire. Déposé en temps utile ( art. 100 al. 1 LTF ) et en la forme prévue ( art. 42 LTF ) par le destinataire de l'arrêt attaqué qui a un intérêt digne de protection à l'annulation ou à la modification de celui-ci ( art. 89 al. 1 LTF ), le présent recours est recevable.</w:t>
      </w:r>
    </w:p>
    <w:p>
      <w:r>
        <w:rPr>
          <w:b/>
        </w:rPr>
        <w:t>E. 2</w:t>
      </w:r>
    </w:p>
    <w:p>
      <w:r>
        <w:t>Dans un grief d'ordre formel qu'il convient d'examiner en premier lieu, la recourante se plaint d'une violation de son droit d'être entendue ( art. 29 al. 2 Cst. ). Elle reproche à la Cour de justice d'avoir écarté sa demande de comparution personnelle la privant ainsi de son droit d'apporter les preuves nécessaires concernant notamment sa situation personnelle et sa prétendue ignorance du retrait de permis.</w:t>
      </w:r>
    </w:p>
    <w:p>
      <w:r>
        <w:rPr>
          <w:b/>
        </w:rPr>
        <w:t>E. 2.1</w:t>
      </w:r>
    </w:p>
    <w:p>
      <w:r>
        <w:t>Le droit d'être entendu, tel qu'il est garanti par l' art. 29 al. 2 Cst. ,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133 I 270 consid. 3.1 p. 277). Il ne comprend en revanche pas le droit d'être entendu oralement ( ATF 130 II 425 consid. 2.1 p. 428 s.).</w:t>
      </w:r>
    </w:p>
    <w:p>
      <w:r>
        <w:rPr>
          <w:b/>
        </w:rPr>
        <w:t>E. 2.2</w:t>
      </w:r>
    </w:p>
    <w:p>
      <w:r>
        <w:t>En l'espèce, il ressort du dossier que la recourante, assistée d'un avocat, a eu l'occasion d'exposer l'ensemble de ses arguments par écrit durant la procédure de recours devant le TAPI puis devant la Cour de justice. L'intéressée s'est ainsi déterminée à plusieurs reprises sur sa situation personnelle ainsi que sur sa prétendue ignorance du retrait de permis et elle a produit divers documents à l'appui de sa position. Elle a donc pu s'exprimer de manière complète et on ne voit pas concrètement ce qu'une audition personnelle devant l'instance précédente lui aurait permis d'ajouter. L'instance précédente n'a donc pas violé le droit d'être entendue de la recourante en refusant de procéder à son audition. Le grief doit être rejeté.</w:t>
      </w:r>
    </w:p>
    <w:p>
      <w:r>
        <w:rPr>
          <w:b/>
        </w:rPr>
        <w:t>E. 3</w:t>
      </w:r>
    </w:p>
    <w:p>
      <w:r>
        <w:t>Dans un second moyen intitulé "établissement manifestement inexact des faits", la recourante invoque pêle-mêle divers arguments de fait et de droit.</w:t>
      </w:r>
    </w:p>
    <w:p>
      <w:r>
        <w:rPr>
          <w:b/>
        </w:rPr>
        <w:t>E. 3.1</w:t>
      </w:r>
    </w:p>
    <w:p>
      <w:r>
        <w:t>Le Tribunal fédéral applique le droit d'office ( art. 106 al. 1 LTF ), sous réserve de l' art. 106 al. 2 LTF . Par ailleurs, il fonde en principe son raisonnement juridique sur les faits retenus par l'autorité précédente (cf. art. 105 al. 1 LTF ), sauf s'ils ont été établis en violation du droit au sens de l' art. 95 LTF ou de façon manifestement inexacte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ATF 135 II 313 consid 5.2.2 p. 322 s.).</w:t>
      </w:r>
    </w:p>
    <w:p>
      <w:r>
        <w:rPr>
          <w:b/>
        </w:rPr>
        <w:t>E. 3.2</w:t>
      </w:r>
    </w:p>
    <w:p>
      <w:r>
        <w:t>En l'espèce, la recourante soutient qu'elle n'était pas au courant du retrait du recours interjeté contre la décision de l'OCAN du 12 mars 2008 lui retirant son permis de conduire, puisqu'elle avait demandé à son ancien mandataire de maintenir le recours. Elle ne peut toutefois pas objecter qu'elle ignorait l'existence de la mesure de retrait de permis. En effet, en vertu de la règle selon laquelle les actes de l'avocat sont imputables à son client, la recourante était réputée connaître la décision de retrait (cf. ATF 107 Ia 168 consid. 2a p. 169; voir aussi ATF 114 Ib 67 consid. 2c p. 70; arrêt 1C_310/2010 du 6 décembre 2010 consid. 4.2); elle ne fait pas valoir de circonstances exceptionnelles qui justifieraient de s'écarter de ce principe. De plus, selon la pratique habituelle et conformément au devoir de diligence de l'avocat, la recourante a dû être informée par son mandataire des démarches entreprises et de l'issue de la cause. Il n'est en outre pas crédible que la recourante ne se soit pas souciée du sort de son recours du 14 avril 2008. Celui-ci visait en effet une décision de retrait de permis pour une durée de douze mois, ce qui devait la préoccuper puisqu'elle prétend avoir un besoin impératif de son véhicule pour exercer sa profession. Comme relevé par la Cour de justice, il appartenait à la recourante, compte tenu des circonstances du cas d'espèce, de se soucier des suites de la procédure, notamment à la veille du 1er janvier 2009. La recourante fait également grief à l'instance précédente d'avoir passé sous silence le fait que le courrier du 13 janvier 2009 de l'OCAN - lequel avisait la police que le permis de conduire n'avait pas été déposé - ne lui avait pas été communiqué. On ne voit toutefois pas en quoi ces faits seraient de nature à remettre en cause la solution du litige puisqu'il a été établi que la recourante ne pouvait se prévaloir de son ignorance de la mesure de retrait de permis dès le 1er janvier 2009. Enfin, l'intéressée reproche à la police d'avoir contrevenu à son obligation de saisir son permis de conduire, invoquant différentes dispositions qui s'appliqueraient mutatis mutandis ( art. 54 OCR [RS 741.11] ; 23 OCCR [RS 741.013]; art. 23 de l'ordonnance cantonale bernoise sur la circulation routière). Elle soutient que si la police avait entrepris les démarches habituelles en vue de la saisie du permis, elle n'aurait pas commis l'infraction reprochée (conduite sous le coup d'un retrait). Dans la mesure où la recourante ne peut pas prétendre qu'elle ignorait le retrait de permis prononcé pour une durée de douze mois et qu'elle aurait dû déposer le permis au 1er janvier 2009, elle ne saurait tirer argument d'une prétendue obligation de la police de procéder à la saisie du document en question pour échapper à toute sanction. Les différents moyens soulevés par la recourante doivent donc être écartés.</w:t>
      </w:r>
    </w:p>
    <w:p>
      <w:r>
        <w:rPr>
          <w:b/>
        </w:rPr>
        <w:t>E. 4</w:t>
      </w:r>
    </w:p>
    <w:p>
      <w:r>
        <w:t>Enfin, la recourante se plaint d'une violation des dispositions de droit fédéral en matière de représentation prévues aux art. 32 ss CO . Le recours aurait été retiré par son ancien mandataire en violation de ses instructions, de sorte que ce retrait effectué sans pouvoir ne la lierait pas. En vertu du principe de la bonne foi ( art. 5 al. 3 Cst. ), celui qui laisse procéder et ne soulève pas devant l'autorité de dernière instance cantonale un grief lié à la conduite du procès, ne peut en principe plus le soulever devant le Tribunal fédéral; il s'agit en effet d'éviter qu'une partie garde en réserve un moyen en fonction de l'issue défavorable de la procédure alors qu'il aurait pu être signalé immédiatement (cf. ATF 135 I 91 consid. 2.1 in fine p. 93; 133 III 638 consid. 2 p. 640; 119 Ia 221 consid. 5a p. 228; arrêt 1C_116/2011 du 14 septembre 2011 consid. 3.3; cf. également BERNARD CORBOZ, in Commentaire de la LTF, note 46 ad art. 99 LTF ). En l'occurrence, la recourante allègue pour la première fois devant le Tribunal fédéral que le retrait du recours effectué par son ancien mandataire ne l'engagerait pas. Elle n'a jamais critiqué auparavant la validité du retrait du recours contre la décision de l'OCAN du 12 mars 2008, que ce soit dans la présente procédure ou dans celle relative à la demande de révision interjetée contre l'arrêt du 27 mai 2008 du Tribunal administratif; elle n'explique en outre pas pour quelle raison elle a renoncé à invoquer ce moyen. Il n'y a dès lors pas lieu d'entrer en matière sur ce grief qui n'a pas été soulevé en temps utile, conformément au principe de la bonne foi. Cela étant, à supposer recevable, le grief aurait de toute manière dû être rejeté. En effet, il n'est pas contesté que la recourante était à l'époque valablement représentée par un mandataire professionnel. Celle-ci était donc engagée par les actes réalisés en son nom par l'avocat habilité à la représenter en justice (cf. ATF 114 Ib 67 consid. 2c p. 70; 107 Ia 168 consid. 2a p. 169). L'intéressée ne saurait dès lors se retrancher derrière un soi-disant manquement de son précédent avocat, qu'elle ne démontre au demeurant nullement.</w:t>
      </w:r>
    </w:p>
    <w:p>
      <w:r>
        <w:rPr>
          <w:b/>
        </w:rPr>
        <w:t>E. 5</w:t>
      </w:r>
    </w:p>
    <w:p>
      <w:r>
        <w:t>Le recours doit par conséquent être rejeté dans la mesure où il est recevable. 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