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1C_493/2024 vom 23. August 2024</w:t>
      </w:r>
    </w:p>
    <w:p>
      <w:r>
        <w:t>Bundesgericht, 2024-08-23, FR</w:t>
      </w:r>
    </w:p>
    <w:p>
      <w:r>
        <w:rPr>
          <w:b/>
        </w:rPr>
        <w:t xml:space="preserve">Quelle: </w:t>
      </w:r>
      <w:r>
        <w:t>https://mcp.opencaselaw.ch/entscheid/bger_1C_493_2024</w:t>
      </w:r>
    </w:p>
    <w:p>
      <w:r>
        <w:t>FR: TF 1C_493/2024 du 23 août 2024</w:t>
      </w:r>
    </w:p>
    <w:p>
      <w:r>
        <w:t>IT: TF 1C_493/2024 del 23 agosto 2024</w:t>
      </w:r>
    </w:p>
    <w:p>
      <w:pPr>
        <w:pStyle w:val="Heading2"/>
      </w:pPr>
      <w:r>
        <w:t>Erwägungen</w:t>
      </w:r>
    </w:p>
    <w:p>
      <w:r>
        <w:rPr>
          <w:b/>
        </w:rPr>
        <w:t>E. 1</w:t>
      </w:r>
    </w:p>
    <w:p>
      <w:r>
        <w:t>Par acte déposé le 28 novembre 2023, A.________ a saisi la Cour d'appel du Pouvoir judiciaire de la République et canton de Genève d'un recours dirigé contre une décision du Conseil supérieur de la magistrature rendue le 9 octobre 2023 et rectifiée le 15 décembre 2023, concernant une dénonciation qu'elle avait formée contre une magistrate du Ministère public.</w:t>
      </w:r>
    </w:p>
    <w:p>
      <w:r>
        <w:t>Statuant par arrêt du 14 juin 2024, la Cour d'appel a déclaré le recours irrecevable et mis un émolument de procédure de 500 fr. à la charge de son auteur au motif que l'assistance juridique lui avait été refusée.</w:t>
      </w:r>
    </w:p>
    <w:p>
      <w:r>
        <w:t>Par acte non daté déposé le 19 août 2024, A.________ recourt contre cet arrêt auprès du Tribunal fédéral.</w:t>
      </w:r>
    </w:p>
    <w:p>
      <w:r>
        <w:t>Il n'a pas été ordonné d'échange d'écritures.</w:t>
      </w:r>
    </w:p>
    <w:p>
      <w:r>
        <w:rPr>
          <w:b/>
        </w:rPr>
        <w:t>E. 2</w:t>
      </w:r>
    </w:p>
    <w:p>
      <w:r>
        <w:t>Le Tribunal fédéral examine d'office et librement la recevabilité des recours qui lui sont soumis.</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w:t>
      </w:r>
    </w:p>
    <w:p>
      <w:r>
        <w:t>En l'occurrence, la Cour d'appel du Pouvoir judiciaire a jugé que la recourante ne pouvait se prévaloir d'aucun intérêt personnel digne de protection, au sens de l'art. 60 al. 1 let. b de la loi genevoise sur la procédure administrative, à ce que l'autorité disciplinaire intervienne et que le refus du Conseil supérieur de la magistrature de donner suite à sa dénonciation n'était dès lors pas sujet à recours.</w:t>
      </w:r>
    </w:p>
    <w:p>
      <w:r>
        <w:t>La recourante ne développe aucune argumentation visant à démontrer en quoi la Cour d'appel du Pouvoir judiciaire aurait appliqué le droit cantonal de manière arbitraire ou d'une manière non conforme au droit fédéral pour lui dénier la qualité pour recourir et déclarer son recours irrecevable. La cour cantonale s'en est tenue à cet égard à la jurisprudence constante du Tribunal fédéral qui dénie au dénonciateur ou au plaignant la qualité pour former un recours en matière de droit public contre la décision de l'autorité de surveillance de ne pas donner suite à une dénonciation ou à une plainte (cf. ATF 139 II 279 consid. 2.3; 135 II 145 consid. 6.1; 133 II 468 consid. 2). La recourante ne tente pas de remettre en cause cette jurisprudence. On cherche également en vain dans le recours une argumentation topique en lien avec l'émolument de procédure mis à sa charge, s'agissant d'une question relevant du droit cantonal que le Tribunal fédéral examine sous l'angle de l'arbitraire. Le recours ne répond ainsi à l'évidence pas aux exigences de motivation requises et doit ainsi être déclaré irrecevable.</w:t>
      </w:r>
    </w:p>
    <w:p>
      <w:r>
        <w:rPr>
          <w:b/>
        </w:rPr>
        <w:t>E. 3</w:t>
      </w:r>
    </w:p>
    <w:p>
      <w:r>
        <w:t>La cause d'irrecevabilité étant manifeste, le présent arrêt sera rendu selon la procédure simplifiée prévue par l' art. 108 al. 1 let. b LTF et sans autre mesure d'instruction. Vu les circonstances, il sera renoncé à la perception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