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492/2018 vom 12. Dezember 2018</w:t>
      </w:r>
    </w:p>
    <w:p>
      <w:r>
        <w:t>Bundesgericht, 2018-12-12, FR</w:t>
      </w:r>
    </w:p>
    <w:p>
      <w:r>
        <w:rPr>
          <w:b/>
        </w:rPr>
        <w:t xml:space="preserve">Quelle: </w:t>
      </w:r>
      <w:r>
        <w:t>https://mcp.opencaselaw.ch/entscheid/bger_1C_492_2018</w:t>
      </w:r>
    </w:p>
    <w:p>
      <w:r>
        <w:t>FR: TF 1C 492/2018 du 12 décembre 2018</w:t>
      </w:r>
    </w:p>
    <w:p>
      <w:r>
        <w:t>IT: TF 1C 492/2018 del 12 dicembre 2018</w:t>
      </w:r>
    </w:p>
    <w:p>
      <w:pPr>
        <w:pStyle w:val="Heading2"/>
      </w:pPr>
      <w:r>
        <w:t>Regeste</w:t>
      </w:r>
    </w:p>
    <w:p>
      <w:r>
        <w:t>Votation fédérale du 23 septembre 2018 | Droits politiques</w:t>
      </w:r>
    </w:p>
    <w:p>
      <w:pPr>
        <w:pStyle w:val="Heading2"/>
      </w:pPr>
      <w:r>
        <w:t>Erwägungen</w:t>
      </w:r>
    </w:p>
    <w:p>
      <w:r>
        <w:rPr>
          <w:b/>
        </w:rPr>
        <w:t>E. 1</w:t>
      </w:r>
    </w:p>
    <w:p>
      <w:r>
        <w:t>D'après l' art. 82 let . c LTF, le Tribunal fédéral connaît des recours qui concernent les votations populaires, en particulier en matière fédérale contre les décisions des gouvernements cantonaux ( art. 88 al. 1 let. b LTF ). Le recourant dispose du droit de vote sur le plan fédéral et a ainsi qualité pour recourir ( art. 89 al. 3 LTF ). Il a déposé son recours contre la décision du gouvernement genevois auprès du Tribunal fédéral dans le délai prévu ( art. 100 al. 3 let. b LTF ).</w:t>
      </w:r>
    </w:p>
    <w:p>
      <w:r>
        <w:rPr>
          <w:b/>
        </w:rPr>
        <w:t>E. 2</w:t>
      </w:r>
    </w:p>
    <w:p>
      <w:r>
        <w:t>Le recourant dirige d'abord son recours contre les "Explications relatives à la votation fédérale du 23 septembre 2018". Il ne critique cependant pas le contenu du message explicatif fédéral, mais sa nouvelle mise en page, en particulier la taille de la police des recommandations de vote. En vertu de l' art. 189 al. 4 Cst. , les actes de l'Assemblée fédérale et du Conseil fédéral ne peuvent en principe pas être portés devant le Tribunal fédéral. Cette règle s'applique également en matière de droits politiques ( ATF 138 I 61 consid. 7.1 p. 85). Tant que le recourant reproche au Conseil fédéral d'avoir influencé de manière inadmissible la formation de la volonté des citoyens dans son message explicatif, il n'y a pas lieu d'entrer en matière sur le recours ( ATF 138 I 61 consid. 7.2 p. 85; 137 II 177 consid. 1.2 p. 179). Le recourant ne mentionne cependant pas uniquement le message explicatif du gouvernement fédéral. Il affirme que la nouvelle présentation de la brochure explicative fédérale affecte l'état d'information général des électeurs. Il se réfère à l' ATF 138 I 61 , arrêt dans lequel le Tribunal fédéral constate que l' art. 189 al. 4 Cst. permet que l'état d'information global précédant une votation populaire puisse faire l'objet d'une procédure et que, dans ce contexte, les explications du Conseil fédéral puissent aussi être mises en cause (consid. 7.4). Cette jurisprudence ne s'applique toutefois pas en l'occurrence. En effet, les critiques du recourant ne visent pas l'état d'information global mais la mise en page graphique des recommandations de vote du Conseil fédéral et du Parlement. Or les recommandations de vote ne constituent pas une information sur le contenu de l'objet de la votation et par conséquent ne sauraient affecter l'état d'information général des électeurs. De plus, contrairement à la situation prévalant dans l' ATF 138 I 61 , il n'est pas reproché au Conseil fédéral d'avoir retenu des informations importantes dont seule l'administration fédérale disposait. Au contraire, la question de la nouvelle mise en page graphique des recommandations de vote pouvait être abordée sans difficulté dans le débat public précédant la votation (voir aussi arrêts 1C_276/2018 du 10 décembre 2018 consid. 3.2; 1C_455/2016 du 14 décembre 2016 consid. 2.4 non publié in ATF 143 I 78 ).</w:t>
      </w:r>
    </w:p>
    <w:p>
      <w:r>
        <w:rPr>
          <w:b/>
        </w:rPr>
        <w:t>E. 3</w:t>
      </w:r>
    </w:p>
    <w:p>
      <w:r>
        <w:t>Il s'ensuit que le recours est irrecevable. Les frais judiciaires, réduits ( art. 66 al. 1 LTF ),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