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1C_491/2019 vom 5. Februar 2020</w:t>
      </w:r>
    </w:p>
    <w:p>
      <w:r>
        <w:t>Bundesgericht, 2020-02-05, DE</w:t>
      </w:r>
    </w:p>
    <w:p>
      <w:r>
        <w:rPr>
          <w:b/>
        </w:rPr>
        <w:t xml:space="preserve">Quelle: </w:t>
      </w:r>
      <w:r>
        <w:t>https://mcp.opencaselaw.ch/entscheid/bger_1C_491_2019</w:t>
      </w:r>
    </w:p>
    <w:p>
      <w:r>
        <w:t>FR: TF 1C_491/2019 du 5 février 2020</w:t>
      </w:r>
    </w:p>
    <w:p>
      <w:r>
        <w:t>IT: TF 1C_491/2019 del 5 febbraio 2020</w:t>
      </w:r>
    </w:p>
    <w:p>
      <w:pPr>
        <w:pStyle w:val="Heading2"/>
      </w:pPr>
      <w:r>
        <w:t>Erwägungen</w:t>
      </w:r>
    </w:p>
    <w:p>
      <w:r>
        <w:rPr>
          <w:b/>
        </w:rPr>
        <w:t>E. 1.1</w:t>
      </w:r>
    </w:p>
    <w:p>
      <w:r>
        <w:t>Das Bundesgericht beurteilt gestützt auf Art. 82 lit. a BGG Beschwerden gegen Entscheide in Angelegenheiten des öffentlichen Rechts. 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(vgl. Art. 83 ff. BGG e contrario; BGE 133 II 249 E. 1.2 S. 251).</w:t>
      </w:r>
    </w:p>
    <w:p>
      <w:r>
        <w:rPr>
          <w:b/>
        </w:rPr>
        <w:t>E. 1.2</w:t>
      </w:r>
    </w:p>
    <w:p>
      <w:r>
        <w:t>Die Beschwerdeführer waren am vorinstanzlichen Verfahren beteiligt und sind unabhängig von der Beschwerdeberechtigung in der Sache jedenfalls in Anwendung von Art. 89 Abs. 1 BGG legitimiert, die Verletzung ihrer Verfahrensrechte, die auf eine formelle Rechtsverweigerung hinauslaufen, vor Bundesgericht geltend zu machen (vgl. das Urteil des Bundesgerichts 1C_69/2019 vom 20. August 2019 E. 1.2 mit Hinweis).</w:t>
      </w:r>
    </w:p>
    <w:p>
      <w:r>
        <w:rPr>
          <w:b/>
        </w:rPr>
        <w:t>E. 1.3</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das Bundesgericht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1.4</w:t>
      </w:r>
    </w:p>
    <w:p>
      <w:r>
        <w:t>Gemäss Art. 42 Abs. 2 BGG ist in der Begründung in gedrängter Form darzulegen, inwiefern der angefochtene Akt Recht verletzt. Der Beschwerdeführer muss sich wenigstens kurz mit den Erwägungen des angefochtenen Entscheids auseinandersetzen. Besondere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w:t>
      </w:r>
    </w:p>
    <w:p>
      <w:r>
        <w:t>Streitgegenstand bildet einzig die Frage, ob die Beschwerdeführer im kantonalen Verfahren einsprache- bzw. beschwerdelegitimiert waren.</w:t>
      </w:r>
    </w:p>
    <w:p>
      <w:r>
        <w:rPr>
          <w:b/>
        </w:rPr>
        <w:t>E. 2.1</w:t>
      </w:r>
    </w:p>
    <w:p>
      <w:r>
        <w:t>Die Beschwerdeführer machen eine Verletzung von Art. 111 BGG geltend. Da sich die kantonale Regelung der Beschwerdelegitimation mit der bundesrechtlichen decke, rügen sie dagegen eine willkürliche Anwendung des kantonalen Verfahrensrechts nicht, weshalb im Folgenden auf diesen Aspekt nicht eingegangen werden kann (vgl. vorne E. 1.4). Zu prüfen ist ausschliesslich, ob es Art. 111 BGG verletzt, die Beschwerdeführer im Bewilligungsverfahren zum Erlass einer Baubewilligung für die Hundefreilaufzone nicht zu beteiligen.</w:t>
      </w:r>
    </w:p>
    <w:p>
      <w:r>
        <w:rPr>
          <w:b/>
        </w:rPr>
        <w:t>E. 2.2</w:t>
      </w:r>
    </w:p>
    <w:p>
      <w:r>
        <w:t>Gemäss dem Grundsatz der Einheit des Verfahrens nach Art. 111 BGG muss sich unter anderem am Verfahren vor allen kantonalen Instanzen als Partei beteiligen können, wer zur Beschwerde an das Bundesgericht berechtigt ist (Abs. 1). Das kantonale Recht und die kantonalen Behörden dürfen zudem die Rechtsmittelbefugnis nicht enger fassen, als dies für die Beschwerde, hier die Beschwerde in öffentlich-rechtlichen Angelegenheiten nach Art. 82 ff. BGG , an das Bundesgericht vorgesehen ist. Auch nach Art. 33 Abs. 3 lit. a RPG gewährleistet das kantonale Recht im Anwendungsbereich des Raumplanungsgesetzes die Legitimation mindestens im gleichen Umfang wie für die Beschwerde in öffentlich-rechtlichen Angelegenheiten an das Bundesgericht. Ob diese Voraussetzung eingehalten ist, prüft das Bundesgericht frei, da es um die Anwendung von Bundesrecht geht ( BGE 144 I 43 E. 2.1 S. 45 f. mit Hinweisen).</w:t>
      </w:r>
    </w:p>
    <w:p>
      <w:r>
        <w:rPr>
          <w:b/>
        </w:rPr>
        <w:t>E. 2.3</w:t>
      </w:r>
    </w:p>
    <w:p>
      <w:r>
        <w:t>Nach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hat (lit. c).</w:t>
      </w:r>
    </w:p>
    <w:p>
      <w:r>
        <w:t>Gemäss der Rechtsprechung wird neben der formellen Beschwer verlangt, dass der Beschwerdeführer über eine spezifische Beziehungsnähe zur Streitsache verfügt und einen praktischen Nutzen aus der Aufhebung oder Änderung des angefochtenen Entscheids zieht. Legitimiert ist nur, wer stärker als jedermann betroffen ist und in einer beachtenswerten, nahen Beziehung zur Streitsache steht. Die erforderliche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 BGE 141 II 50 E. 2.1 mit Hinweisen). Das Anfechtungsinteresse muss aktuell sein.</w:t>
      </w:r>
    </w:p>
    <w:p>
      <w:r>
        <w:rPr>
          <w:b/>
        </w:rPr>
        <w:t>E. 2.4</w:t>
      </w:r>
    </w:p>
    <w:p>
      <w:r>
        <w:t>Nachbarn sind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ohne vertiefte Abklärungen. Bei grösseren Entfernungen muss eine Beeinträchtigung aufgrund der konkreten Gegebenheiten glaubhaft gemacht werden. Das Bundesgericht prüft die Legitimationsvoraussetzungen in einer Gesamtwürdigung anhand der im konkreten Fall vorliegenden tatsächlichen Verhältnisse. Es stellt nicht schematisch auf einzelne Kriterien ab, wie beispielsweise die Distanz zum Vorhaben, die Sichtverbindung usw. (zum Ganzen: BGE 140 II 214 E. 2.3 S. 219 f. mit Hinweisen).</w:t>
      </w:r>
    </w:p>
    <w:p>
      <w:r>
        <w:rPr>
          <w:b/>
        </w:rPr>
        <w:t>E. 2.5</w:t>
      </w:r>
    </w:p>
    <w:p>
      <w:r>
        <w:t>Neben dem Eigentümer benachbarter Liegenschaften können auch Dritte wie Baurechtsinhaber, Mieter und Pächter die Legitimationsvoraussetzungen erfüllen. Voraussetzung ist dafür ein selbständiges, eigenes Rechtsschutzinteresse an der Beschwerdeführung. Solche Drittpersonen müssen vom Streitgegenstand direkt betroffen sein und einen unmittelbaren Nachteil erleiden; bloss mittelbares Berührtsein genügt nicht ( BGE 135 II 145 E. 6 S. 150 ff.).</w:t>
      </w:r>
    </w:p>
    <w:p>
      <w:r>
        <w:rPr>
          <w:b/>
        </w:rPr>
        <w:t>E. 2.6</w:t>
      </w:r>
    </w:p>
    <w:p>
      <w:r>
        <w:t>Streitig ist vorliegend die Frage, ob die Beschwerdeführer ein schutzwürdiges Interesse an der Aufhebung oder Änderung der Baubewilligung für die Hundefreilaufzone geltend machen können.</w:t>
      </w:r>
    </w:p>
    <w:p>
      <w:r>
        <w:rPr>
          <w:b/>
        </w:rPr>
        <w:t>E. 2.6.1</w:t>
      </w:r>
    </w:p>
    <w:p>
      <w:r>
        <w:t>Zunächst machen die Beschwerdeführer dazu einen tatsächlichen Nachteil geltend, der ihnen durch die Baubewilligung zur Errichtung der vorgesehenen Hundefreilaufzone erwachse. Dieser komme dadurch zustande, dass die Hundefreilaufzone die Durchsetzung des Leinenzwangs im übrigen Gebiet des Parks mit sich bringe. Die Realisierung der Hundefreilaufzone sei untrennbar mit der Einführung eines durchgesetzten Leinenzwangs verbunden, weshalb ein kausaler Zusammenhang zwischen dem Bauvorhaben und dem drohenden Nachteil bestehe.</w:t>
      </w:r>
    </w:p>
    <w:p>
      <w:r>
        <w:rPr>
          <w:b/>
        </w:rPr>
        <w:t>E. 2.6.2</w:t>
      </w:r>
    </w:p>
    <w:p>
      <w:r>
        <w:t>Die Vorinstanz hat zwar eingeräumt, dass eine Hundefreilaufzone nur Sinn mache, wenn in der nächsten Umgebung die Leinenpflicht eingeführt oder aufrecht erhalten werde. Sie argumentiert dagegen, dass diese Leinenpflicht nicht Gegenstand des strittigen Baugesuchs bilde und auch der Entscheid der Baudirektion keine solche Anordnung enthalte. Vielmehr sei der Leinenzwang für das übrige Gebiet in § 3 der Verordnung [des Kantons Luzern] vom 10. Dezember 1973 über das Halten von Hunden (SRL Nr. 849) verankert. In der projektierten Hundefreilaufzone seien ein bekiester Fussweg, ein Treffpunkt mit Sitzbänken und ein Wasserspender sowie neue Bepflanzungen vorgesehen. Die Hunde könnten sich in dieser mit einem einfachen Holzzaun und Drähten abgesteckten Zone unangeleint frei bewegen. Die Vorinstanz kommt zum Schluss, dass die Beschwerdeführer kein schutzwürdiges Interesse an der Ablehnung des Baugesuchs haben, denn es sei nicht ersichtlich, inwiefern die Bewilligung der Hundefreilaufzone sie in ihren rechtlich geschützten, wirtschaftlichen, ideellen oder rein tatsächlichen Interessen beeinträchtigen würde.</w:t>
      </w:r>
    </w:p>
    <w:p>
      <w:r>
        <w:rPr>
          <w:b/>
        </w:rPr>
        <w:t>E. 2.6.3</w:t>
      </w:r>
    </w:p>
    <w:p>
      <w:r>
        <w:t>Die Errichtung der Hundefreilaufzone mag zwar, wie von den Beschwerdeführern und der Vorinstanz beschrieben, mit der Durchsetzung des Leinenzwangs im übrigen Parkgebiet einhergehen. Die Einführung, Durchsetzung oder auch Aufhebung des Leinenzwangs ist rechtlich dennoch keine Folge der Baubewilligung für die Hundefreilaufzone. So kann ein geltender Leinenzwang jederzeit durchgesetzt oder aufgehoben, ein noch nicht geltender jederzeit eingeführt werden. Dies gilt ungeachtet des Umstands, dass eine Baubewilligung für die Hundefreilaufzone erteilt wird oder nicht. Wie die Vorinstanz zu Recht geltend macht, enthält der vorliegende Streitgegenstand, die Baubewilligung der Hundefreilaufzone, keine Bestimmung über einen Leinenzwang, aus welcher der geltend gemachte Nachteil abgeleitet werden könnte. Daraus können die Beschwerdeführer für sich kein schutzwürdiges Interesse ableiten.</w:t>
      </w:r>
    </w:p>
    <w:p>
      <w:r>
        <w:rPr>
          <w:b/>
        </w:rPr>
        <w:t>E. 2.6.4</w:t>
      </w:r>
    </w:p>
    <w:p>
      <w:r>
        <w:t>Die Beschwerdeführer bringen weiter vor, dass die Hundefreilaufzone viel zu klein und damit rechtswidrig sei. Der Rundweg von lediglich 230 m zeige, dass die Freilaufzone viel zu gering dimensioniert sei, auch wenn sich die Hunde entlang des Rundwegs frei bewegen könnten. Die Hundefreilaufzone könne damit ihren Zweck gar nicht erfüllen. Die Dimension der geplanten Freilaufzone entspreche in keiner Weise den Anforderungen an eine artgerechte Hundehaltung. Der rund 230 m lange, eintönige Rundweg würde 13 bis 26 mal absolviert werden müssen, um die Strecke eines normalen Hundespaziergangs zurückzulegen, was offensichtlich unzumutbar sei. Mit einer derart kleinen Freilaufzone nehme die Beschwerdegegnerin billigend in Kauf, dass die Hunde im Einzugsgebiet zu wenig bewegt und beschäftigt würden sowie dass es aufgrund der hohen Hundedichte zu Konflikten komme. Dies bedeute eine erhebliche Beeinträchtigung des Tierwohls. Den Beschwerdeführern drohe aus dem Bauvorhaben ein erheblicher Nachteil, da sie eine ungeeignete, viel zu kleine und den Zweck nicht erfüllende Hundefreilaufzone benützen müssten, die mit dem Tierwohl nicht vereinbar sei.</w:t>
      </w:r>
    </w:p>
    <w:p>
      <w:r>
        <w:rPr>
          <w:b/>
        </w:rPr>
        <w:t>E. 2.6.5</w:t>
      </w:r>
    </w:p>
    <w:p>
      <w:r>
        <w:t>Dem hält die Vorinstanz entgegen, dass die für die Hundefreilaufzone vorgesehene Nutzungsmöglichkeit zu keiner Verpflichtung für die Beschwerdeführer führe, das fragliche Gebiet auch tatsächlich nutzen zu müssen. Von einem Nachteil könne daher nicht gesprochen werden.</w:t>
      </w:r>
    </w:p>
    <w:p>
      <w:r>
        <w:rPr>
          <w:b/>
        </w:rPr>
        <w:t>E. 2.6.6</w:t>
      </w:r>
    </w:p>
    <w:p>
      <w:r>
        <w:t>Mit der neuen Hundefreilaufzone wird Hundehaltern auf dem Grundstück Nr. 111/1370 eine Nutzungsmöglichkeit eingeräumt, die im Vergleich zur bisherigen nicht nachteilig ist. Es handelt sich, wie die Vorinstanz zu Recht bemerkt, um eine Möglichkeit, die keine Verpflichtung für die Beschwerdeführer mit sich bringt. Deshalb könnten diese auch keinen praktischen Nutzen aus einer allfälligen Aufhebung oder Änderung des angefochtenen Entscheids ziehen.</w:t>
      </w:r>
    </w:p>
    <w:p>
      <w:r>
        <w:t>Auch aus den beanstandeten Mängeln der Hundefreilaufzone in Bezug auf ihre Grösse, Eignung und Zweckmässigkeit lassen sich für die Beschwerdeführer keine schutzwürdigen Interessen herleiten. In dieser Hinsicht entstünde ihnen im Falle des Obsiegens ebenfalls kein Vorteil, denn es ist nicht ersichtlich, wie die gerügten Mängel behoben werden könnten, ohne den vom Streitgegenstand vorgegebenen Rahmen zu überschreiten.</w:t>
      </w:r>
    </w:p>
    <w:p>
      <w:r>
        <w:rPr>
          <w:b/>
        </w:rPr>
        <w:t>E. 2.7</w:t>
      </w:r>
    </w:p>
    <w:p>
      <w:r>
        <w:t>Da die Beschwerdeführer über kein schutzwürdiges Interesse verfügen, kann offen bleiben, ob sie in spezifischer Beziehungsnähe zur Streitsache stehen. Der angefochtene Entscheid verletzt Bundesrecht nicht, indem er den Beschwerdeführern die Beschwerdelegitimation mangels schutzwürdigen Interesses abspricht.</w:t>
      </w:r>
    </w:p>
    <w:p>
      <w:r>
        <w:rPr>
          <w:b/>
        </w:rPr>
        <w:t>E. 3</w:t>
      </w:r>
    </w:p>
    <w:p>
      <w:r>
        <w:t>Die Beschwerde erweist sich als unbegründet und ist abzuweisen. Bei diesem Ausgang des Verfahrens werden die Beschwerdeführer unter Solidarhaft kostenpflichtig ( Art. 66 Abs. 1 und 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