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48/2015 vom 10. Februar 2015</w:t>
      </w:r>
    </w:p>
    <w:p>
      <w:r>
        <w:t>Bundesgericht, 2015-02-10, DE</w:t>
      </w:r>
    </w:p>
    <w:p>
      <w:r>
        <w:rPr>
          <w:b/>
        </w:rPr>
        <w:t xml:space="preserve">Quelle: </w:t>
      </w:r>
      <w:r>
        <w:t>https://mcp.opencaselaw.ch/entscheid/bger_1C_48_2015</w:t>
      </w:r>
    </w:p>
    <w:p>
      <w:r>
        <w:t>FR: TF 1C 48/2015 du 10 février 2015</w:t>
      </w:r>
    </w:p>
    <w:p>
      <w:r>
        <w:t>IT: TF 1C 48/2015 del 10 febbraio 2015</w:t>
      </w:r>
    </w:p>
    <w:p>
      <w:pPr>
        <w:pStyle w:val="Heading2"/>
      </w:pPr>
      <w:r>
        <w:t>Regeste</w:t>
      </w:r>
    </w:p>
    <w:p>
      <w:r>
        <w:t>Auslieferung an Israel | Rechtshilfe und Auslieferung</w:t>
      </w:r>
    </w:p>
    <w:p>
      <w:pPr>
        <w:pStyle w:val="Heading2"/>
      </w:pPr>
      <w:r>
        <w:t>Erwägungen</w:t>
      </w:r>
    </w:p>
    <w:p>
      <w:r>
        <w:rPr>
          <w:b/>
        </w:rPr>
        <w:t>E. 1</w:t>
      </w:r>
    </w:p>
    <w:p>
      <w:r>
        <w:t>Am 1. April 2011 trat das Bundesgesetz vom 1. Oktober 2010 über die Koordination des Asyl- und des Auslieferungsverfahrens (Koordinationsgesetz; AS 2011 925 ff.) in Kraft. Dieses stellt einen Mantelerlass dar. Damit wurden ausschliesslich das Bundesgerichtsgesetz, das Asylgesetz (AsylG; SR 142.31) und das Rechtshilfegesetz (IRSG; SR 351.1) geändert. Das Koordinationsgesetz bezweckt die Behebung der Probleme, die bei parallelen Auslieferungs- und Asylverfahren auftraten. Diese Verfahren werden nunmehr auf der Stufe des Bundesgerichts zusammengeführt. Das gewährleistet eine widerspruchsfreie Rechtsprechung unter Beachtung des Gebots des Non-Refoulement (näher dazu BGE 138 II 513 E. 1.2.1 S. 515 f. mit Hinweisen). Der Beschwerdeführer ersuchte am 10. April 2014 in der Schweiz um Asyl. Mit Verfügung vom 29. September 2014 wies das Bundesamt (heute: Staatssekretariat) für Migration das Gesuch ab. Die vom Beschwerdeführer dagegen erhobene Beschwerde wies das Bundesverwaltungsgericht (Abteilung IV) am 12. November 2014 ab. Hiergegen erhob der Beschwerdeführer beim Bundesgericht Beschwerde mit dem sinngemässen Antrag, das Urteil des Bundesverwaltungsgerichts sei aufzuheben und das Asyl zu gewähren. Über jene Beschwerde entscheidet das Bundesgericht mit separatem Entscheid vom heutigen Tag (1C_600/2015). Die Koordination des Auslieferungs- und des Asylverfahrens ist damit sichergestellt. Da dem Bundesgericht die Akten des Asylverfahrens vorliegen, ist Art. 55a IRSG , der ihren Beizug vorschreibt, Genüge getan.</w:t>
      </w:r>
    </w:p>
    <w:p>
      <w:r>
        <w:rPr>
          <w:b/>
        </w:rPr>
        <w:t>E. 2</w:t>
      </w:r>
    </w:p>
    <w:p>
      <w:r>
        <w:t>Nach Art. 42 Abs. 1 BGG sind Rechtsschriften in einer Amtssprache abzufassen. Amtssprachen sind Deutsch, Französisch, Italienisch und Rätoromanisch ( Art. 70 Abs. 1 BV , Art. 54 Abs. 1 BGG ). Gemäss Art. 42 Abs. 6 i.V.m. Abs. 5 BGG können nicht in einer Amtssprache verfasste Rechtsschriften zur Änderung zurückgewiesen werden; dies mit Ansetzung einer Frist zur Behebung des Mangels und der Androhung, dass die Rechtsschrift sonst unbeachtet bleibt. Art. 42 Abs. 6 BGG stellt eine Kann-Bestimmung dar. Das Bundesgericht kann somit ausnahmsweise auch nicht in einer Amtssprache eingereichte Rechtsschriften beachten und von einer Zurückweisung absehen. Dies kann sich namentlich in Haftfällen rechtfertigen, die besonders beschleunigt zu behandeln sind und bei denen der Rechtsuchende nicht selten keine Amtssprache beherrscht. Hier kann das Bundesgericht von sich aus eine Übersetzung anordnen und gestützt darauf entscheiden ( Art. 54 Abs. 4 BGG ; Verfügung 2C_859/2011 vom 10. November 2011 E. 2; FLORENCE AUBRY-GIRARDIN, in: Commentaire de la LTF, 2. Aufl. 2014, N. 12 zu Art. 42 BGG ; LAURENT MERZ, in: Bundesgerichtsgesetz, Basler Kommentar, 2. Aufl. 2011, N. 98 zu Art. 42 BGG ). Der Beschwerdeführer hat die Beschwerde in englischer Sprache eingereicht. Er befindet sich in Haft und spricht keine Amtssprache. Seine Ausführungen sind - auch wenn sie Schreibfehler aufweisen - sprachlich verständlich. Eine Übersetzung ist deshalb nicht erforderlich. Unter diesen besonderen Umständen rechtfertigt es sich ausnahmsweise, auf eine Zurückweisung der Rechtsschrift zu verzichten.</w:t>
      </w:r>
    </w:p>
    <w:p>
      <w:r>
        <w:rPr>
          <w:b/>
        </w:rPr>
        <w:t>E. 3.1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3.2</w:t>
      </w:r>
    </w:p>
    <w:p>
      <w:r>
        <w:t>Der Beschwerdeführer legt nicht dar, weshalb hier ein besonders bedeutender Fall vorliegen soll. Ob man annehmen kann, dass er das zumindest sinngemäss tut und die Beschwerde damit den Begründungsanforderungen nach Art. 42 Abs. 2 BGG genügt, kann dahingestellt bleiben. Ein besonders bedeutender Fall ist jedenfalls zu verneinen. Die Vorinstanz kommt zum Schluss, die Darstellung des Beschwerdeführers sei nicht geeignet, eine Verfolgungssituation im Sinne von Art. 3 Ziff. 2 des Europäischen Auslieferungsübereinkommens vom 13. Dezember 1957 (SR 0.353.1) sowie Art. 2 lit. b und c IRSG konkret und glaubhaft aufzuzeigen (angefochtener Entscheid S. 7 E. 3.5). Die vorinstanzlichen Erwägungen, auf welche verwiesen werden kann ( Art. 109 Abs. 3 BGG ), stützen sich auf die bundesgerichtliche Rechtsprechung und sind in keiner Weise zu beanstanden. Rechtsfragen von grundsätzlicher Bedeutung stellen sich nicht. Auch sonst wie kommt der Angelegenheit keine aussergewöhnliche Tragweite zu. Für das Bundesgericht besteht deshalb kein Anlass, die Sache an die Hand zu nehmen. Die Beschwerde ist unzulässig.</w:t>
      </w:r>
    </w:p>
    <w:p>
      <w:r>
        <w:rPr>
          <w:b/>
        </w:rPr>
        <w:t>E. 4</w:t>
      </w:r>
    </w:p>
    <w:p>
      <w:r>
        <w:t>Unter den gegebenen Umständen - der Beschwerdeführer befindet sich seit Längerem in Haft - rechtfertigt es sich,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