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489/2010 vom 3. November 2010</w:t>
      </w:r>
    </w:p>
    <w:p>
      <w:r>
        <w:t>Bundesgericht, 2010-11-03, DE</w:t>
      </w:r>
    </w:p>
    <w:p>
      <w:r>
        <w:rPr>
          <w:b/>
        </w:rPr>
        <w:t xml:space="preserve">Quelle: </w:t>
      </w:r>
      <w:r>
        <w:t>https://mcp.opencaselaw.ch/entscheid/bger_1C_489_2010</w:t>
      </w:r>
    </w:p>
    <w:p>
      <w:r>
        <w:t>FR: TF 1C 489/2010 du 3 novembre 2010</w:t>
      </w:r>
    </w:p>
    <w:p>
      <w:r>
        <w:t>IT: TF 1C 489/2010 del 3 novembre 2010</w:t>
      </w:r>
    </w:p>
    <w:p>
      <w:pPr>
        <w:pStyle w:val="Heading2"/>
      </w:pPr>
      <w:r>
        <w:t>Regeste</w:t>
      </w:r>
    </w:p>
    <w:p>
      <w:r>
        <w:t>Auslieferungshaft | Rechtshilfe und Auslieferung</w:t>
      </w:r>
    </w:p>
    <w:p>
      <w:pPr>
        <w:pStyle w:val="Heading2"/>
      </w:pPr>
      <w:r>
        <w:t>Erwägungen</w:t>
      </w:r>
    </w:p>
    <w:p>
      <w:r>
        <w:rPr>
          <w:b/>
        </w:rPr>
        <w:t>E. 1</w:t>
      </w:r>
    </w:p>
    <w:p>
      <w:r>
        <w:t>Erachtet das Bundesgericht eine Beschwerde in Rechtshilfesachen als unzulässig, weil kein besonders bedeutender Fall im Sinne von Art. 84 BGG gegeben ist, so fällt es innert 15 Tagen seit Abschluss eines allfälligen Schriftenwechsels einen Nichteintretensentscheid ( Art. 107 Abs. 3 BGG ). Dieser Entscheid wird - unter Vorbehalt der allgemeinen Unzulässigkeitsgründe nach Art. 108 Abs. 1 BGG - im vereinfachten Verfahren gemäss Art. 109 Abs. 1 BGG in Dreierbesetzung auf dem Zirkulationsweg getroffen ( BGE 133 IV 125 E. 1.2 S. 127). Soweit Art. 109 Abs. 1 BGG das Erfordernis des "besonders bedeutenden Falles" betrifft, handelt es sich (im Verhältnis zu Art. 20 und Art. 108 BGG ) um eine "lex specialis" für Verfahren betreffend die internationale Rechtshilfe in Strafsachen. Daher ist Art. 109 Abs. 1 BGG (Dreierbesetzung) grundsätzlich auch bei offensichtlich fehlendem besonders bedeutendem Fall anwendbar. Davon zu unterscheiden sind die allgemeinen Unzulässigkeitsgründe, welche bei Offensichtlichkeit im Verfahren nach Art. 108 Abs. 1 lit. a-c BGG zu beurteilen sind. Dazu gehören etwa das eindeutige Versäumen der Beschwerdefrist ( Art. 100 Abs. 2 lit. b BGG ) oder die offensichtlich ungenügende Beschwerdebegründung im Sinne von Art. 42 Abs. 1-2 BGG ( BGE 133 IV 125 E. 1.2 S. 127 f.). Nicht ausreichend begründet ist die Beschwerde in Rechtshilfesachen insbesondere dann, wenn nicht ausgeführt wird, warum ein besonders bedeutender Fall nach Art. 84 BGG vorliege ( Art. 42 Abs. 2 BGG ; BGE 133 IV 125 E. 1.2 S. 128). Liegt offensichtlich ein solcher allgemeiner Unzulässigkeitsgrund vor, ist im einzelrichterlichen Verfahren ein Nichteintretensentscheid zu fällen ( Art. 108 Abs. 1 BGG ). In diesen Fällen erübrigt sich die zusätzliche Prüfung des besonderen Eintretenserfordernisses von Art. 109 Abs. 1 BGG (besonders bedeutender Fall), selbst wenn sein Vorliegen geltend gemacht wird. Art. 109 Abs. 1 BGG kommt somit nur - aber immer dann - zum Zug, wenn die dort genannte Eintretensvoraussetzung für das Nichteintreten entscheidend ist. In diesem Fall erweist sich Art. 109 Abs. 1 BGG (im Verhältnis zu Art. 108 Abs. 1 lit. a BGG ) als "lex specialis" und hat insoweit Vorrang ( BGE 133 IV 125 E. 1.2 S. 128).</w:t>
      </w:r>
    </w:p>
    <w:p>
      <w:r>
        <w:rPr>
          <w:b/>
        </w:rPr>
        <w:t>E. 2</w:t>
      </w:r>
    </w:p>
    <w:p>
      <w:r>
        <w:t>Schon in seinem Urteil 1C_377/2010 vom 13. September 2010 hat das Bundesgericht den Beschwerdeführer ausdrücklich darauf hingewiesen, dass gemäss Art. 42 Abs. 2 Satz BGG das Vorliegen eines besonders bedeutenden Falles in der Beschwerde darzulegen ist. Im dortigen Entscheid wurde noch offen gelassen, ob diese Substanziierungsobliegenheit erfüllt war. Auf die Beschwerde wurde in Dreierbesetzung und auf dem Zirkulationsweg (gestützt auf Art. 109 Abs. 1 BGG ) mangels besonders bedeutenden Falles ( Art. 84 BGG ) nicht eingetreten. In der vorliegenden Beschwerde wird mit keinem Wort ausgeführt, inwiefern hier ein besonders bedeutender Fall im Sinne von Art. 84 BGG gegeben wäre. Darauf ist wegen offensichtlich ungenügender Beschwerdebegründung im vereinfachten einzelrichterlichen Verfahren nicht einzutreten ( Art. 108 Abs. 1 lit. b BGG ). Auf die Erhebung von Gerichtskosten kann hier verzichtet werden ( Art. 66 Abs. 1 Satz 2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