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1C_488/2018 vom 26. September 2018</w:t>
      </w:r>
    </w:p>
    <w:p>
      <w:r>
        <w:t>Bundesgericht, 2018-09-26, DE</w:t>
      </w:r>
    </w:p>
    <w:p>
      <w:r>
        <w:rPr>
          <w:b/>
        </w:rPr>
        <w:t xml:space="preserve">Quelle: </w:t>
      </w:r>
      <w:r>
        <w:t>https://mcp.opencaselaw.ch/entscheid/bger_1C_488_2018</w:t>
      </w:r>
    </w:p>
    <w:p>
      <w:r>
        <w:t>FR: TF 1C_488/2018 du 26 septembre 2018</w:t>
      </w:r>
    </w:p>
    <w:p>
      <w:r>
        <w:t>IT: TF 1C_488/2018 del 26 settembre 2018</w:t>
      </w:r>
    </w:p>
    <w:p>
      <w:pPr>
        <w:pStyle w:val="Heading2"/>
      </w:pPr>
      <w:r>
        <w:t>Erwägungen</w:t>
      </w:r>
    </w:p>
    <w:p>
      <w:r>
        <w:rPr>
          <w:b/>
        </w:rPr>
        <w:t>E. 1</w:t>
      </w:r>
    </w:p>
    <w:p>
      <w:r>
        <w:t>Mit Beschluss vom 6. September 2018 ist das Verwaltungsgericht des Kantons Zürich auf eine Beschwerde von A.________ gegen die Hausordnung der Justizvollzugsanstalt Pöschwies nicht eingetreten und hat die Sache zuständigkeitshalber dem Regierungsrat des Kantons Zürich zur Behandlung überwiesen.</w:t>
      </w:r>
    </w:p>
    <w:p>
      <w:r>
        <w:t>Mit Beschwerde vom 23. und 24. September 2018 ficht A.________ diesen Beschluss des Verwaltungsgerichts an. Vernehmlassungen wurden keine eingeholt.</w:t>
      </w:r>
    </w:p>
    <w:p>
      <w:r>
        <w:rPr>
          <w:b/>
        </w:rPr>
        <w:t>E. 2</w:t>
      </w:r>
    </w:p>
    <w:p>
      <w:r>
        <w:t>Gegen den angefochtenen, kantonal letztinstanzlichen Überweisungsbeschluss ist die Beschwerde ans Bundesgericht zulässig. Er schliesst indessen das Verfahren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w:t>
      </w:r>
    </w:p>
    <w:p>
      <w:r>
        <w:rPr>
          <w:b/>
        </w:rPr>
        <w:t>E. 3</w:t>
      </w:r>
    </w:p>
    <w:p>
      <w:r>
        <w:t>Der Beschwerdeführer legt unter Verletzung seiner Begründungspflicht nicht dar, inwiefern er durch den angefochtenen Überweisungsentscheid einen nicht wieder gutzumachenden Nachteil erleiden könnte, und das ist auch nicht ersichtlich. Auf die Beschwerde ist nicht einzutreten, und zwar, da der Mangel offensichtlich ist, im vereinfachten Verfahren.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