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1C_487/2015 vom 6. Januar 2016</w:t>
      </w:r>
    </w:p>
    <w:p>
      <w:r>
        <w:t>Bundesgericht, 2016-01-06, DE</w:t>
      </w:r>
    </w:p>
    <w:p>
      <w:r>
        <w:rPr>
          <w:b/>
        </w:rPr>
        <w:t xml:space="preserve">Quelle: </w:t>
      </w:r>
      <w:r>
        <w:t>https://mcp.opencaselaw.ch/entscheid/bger_1C_487_2015</w:t>
      </w:r>
    </w:p>
    <w:p>
      <w:r>
        <w:t>FR: TF 1C_487/2015 du 6 janvier 2016</w:t>
      </w:r>
    </w:p>
    <w:p>
      <w:r>
        <w:t>IT: TF 1C_487/2015 del 6 gennaio 2016</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Der Kanton Basel-Stadt kennt keine abstrakte Normenkontrolle gegen kantonale Erlasse (vgl. § 116 Abs. 2 lit. b KV/BS ).</w:t>
      </w:r>
    </w:p>
    <w:p>
      <w:r>
        <w:rPr>
          <w:b/>
        </w:rPr>
        <w:t>E. 1.2</w:t>
      </w:r>
    </w:p>
    <w:p>
      <w:r>
        <w:t>Gemäss Art. 101 BGG ist die Beschwerde gegen einen Erlass innert 30 Tagen nach der nach dem kantonalen Recht massgebenden Veröffentlichung des Erlasses beim Bundesgericht einzureichen. Massgebend für den Beginn des Fristenlaufs ist nach der Praxis des Bundesgerichts die Publikation des Erlasses mit der Feststellung, dass derselbe zustande gekommen ist und in Kraft treten kann; unerheblich ist, ob der angefochtene Erlass im Zeitpunkt der Beschwerdeerhebung bereits in Kraft stand oder nicht ( BGE 130 I 82 E. 1.2 S. 84 f.).</w:t>
      </w:r>
    </w:p>
    <w:p>
      <w:r>
        <w:t>Mit der Publikation des Erwahrungsbeschlusses im Kantonsblatt vom 22. Juli 2015, wonach die Referendumsfrist des GOG/BS unbenutzt abgelaufen und der Erlass in Rechtskraft erwachsen ist, hat das Verfahren zur Totalrevision des GOG/BS seinen Abschluss gefunden und die Rechtsmittelfrist zu laufen begonnen (vgl. BGE 133 I 286 E. 1 S. 288). Unter Berücksichtigung der Gerichtsferien ( Art. 46 Abs. 1 lit. b BGG ) endete die 30-tägige Beschwerdefrist am 14. September 2015. Damit erweist sich die am 24. September 2015 beim Bundesgericht eingegangene Beschwerde als verspätet.</w:t>
      </w:r>
    </w:p>
    <w:p>
      <w:r>
        <w:rPr>
          <w:b/>
        </w:rPr>
        <w:t>E. 1.3.1</w:t>
      </w:r>
    </w:p>
    <w:p>
      <w:r>
        <w:t>Der Beschwerdeführer wendet in seiner Replik vom 30. November 2015 ein, die verfassungsmässige Grundlage für die Totalrevision des GOG/BS habe am 22. Juli 2015 noch nicht bestanden, womit das Gesetz zu diesem Zeitpunkt noch nicht hätte in Kraft gesetzt werden können. Das trifft zwar zu, ändert aber nichts daran, dass mit der Publikation am 22. Juli 2015 die Gesetzesrevision definitiv verabschiedet war und - unter dem Vorbehalt des Ausgangs der Verfassungsabstimmung vom 15. November 2015 - in Kraft gesetzt werden konnte. Dementsprechend hat die Publikation des Erwahrungsbeschlusses am 22. Juli 2015 die Beschwerdefrist von Art. 101 BGG ausgelöst (vgl. zum Ganzen auch Urteil 1C_10/2014 vom 4. April 2014 E. 1.2).</w:t>
      </w:r>
    </w:p>
    <w:p>
      <w:r>
        <w:rPr>
          <w:b/>
        </w:rPr>
        <w:t>E. 1.3.2</w:t>
      </w:r>
    </w:p>
    <w:p>
      <w:r>
        <w:t>Schliesslich kann der Beschwerdeführer aus seinem Vorbringen in der Replik, das Justiz- und Sicherheitsdepartement habe sich gegen Treu und Glauben verhalten, nichts zu seinen Gunsten ableiten. In den vom Beschwerdeführer zur Begründung seines Standpunkts angeführten Schreiben des Justiz- und Sicherheitsdepartements vom 5. August 2015 und vom 3. September 2015 hat sich dieses nicht zum Lauf der Rechtsmittelfrist nach Art. 101 BGG geäussert.</w:t>
      </w:r>
    </w:p>
    <w:p>
      <w:r>
        <w:rPr>
          <w:b/>
        </w:rPr>
        <w:t>E. 2</w:t>
      </w:r>
    </w:p>
    <w:p>
      <w:r>
        <w:t>Auf die Beschwerde ist somit wegen verspäteter Einreichung nicht einzutreten. Damit werden die vom Beschwerdeführer gestellten Verfahrensanträge gegenstandslos.</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