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1C_486/2024 vom 22. August 2024</w:t>
      </w:r>
    </w:p>
    <w:p>
      <w:r>
        <w:t>Bundesgericht, 2024-08-22, FR</w:t>
      </w:r>
    </w:p>
    <w:p>
      <w:r>
        <w:rPr>
          <w:b/>
        </w:rPr>
        <w:t xml:space="preserve">Quelle: </w:t>
      </w:r>
      <w:r>
        <w:t>https://mcp.opencaselaw.ch/entscheid/bger_1C_486_2024</w:t>
      </w:r>
    </w:p>
    <w:p>
      <w:r>
        <w:t>FR: TF 1C_486/2024 du 22 août 2024</w:t>
      </w:r>
    </w:p>
    <w:p>
      <w:r>
        <w:t>IT: TF 1C_486/2024 del 22 agosto 2024</w:t>
      </w:r>
    </w:p>
    <w:p>
      <w:pPr>
        <w:pStyle w:val="Heading2"/>
      </w:pPr>
      <w:r>
        <w:t>Erwägungen</w:t>
      </w:r>
    </w:p>
    <w:p>
      <w:r>
        <w:rPr>
          <w:b/>
        </w:rPr>
        <w:t>E. 1</w:t>
      </w:r>
    </w:p>
    <w:p>
      <w:r>
        <w:t>Le 31 octobre 2023, A.________ a saisi la Chambre constitutionnelle de la Cour de justice de la République et canton de Genève d'une "demande d'annulation des frais" en concluant à l'annulation "de toute irrecevabilité rendue suite au non-paiement dû à sa situation financière".</w:t>
      </w:r>
    </w:p>
    <w:p>
      <w:r>
        <w:t>Invitée à s'acquitter d'une avance de frais de 500 francs, A.________ a déposé une demande d'assistance juridique que le service compétent a rejetée par décision du 19 décembre 2023. Une demande analogue a été écartée le 25 janvier 2024.</w:t>
      </w:r>
    </w:p>
    <w:p>
      <w:r>
        <w:t>Un nouveau délai au 18 avril 2024 a été imparti à A.________ pour verser la somme de 500 francs à titre d'avance de frais sous peine d'irrecevabilité de son recours. La recourante a sollicité sans succès à deux reprises à être dispensée du paiement de l'avance de frais en raison de sa situation financière difficile.</w:t>
      </w:r>
    </w:p>
    <w:p>
      <w:r>
        <w:t>L'avance de frais n'ayant pas été versée, la Chambre constitutionnelle a déclaré irrecevable la demande déposée le 31 octobre 2023 au terme d'une décision rendue le 2 juillet 2024 que A.________ a déférée le 19 août 2024 auprès du Tribunal fédéral.</w:t>
      </w:r>
    </w:p>
    <w:p>
      <w:r>
        <w:t>Il n'a pas été ordonné d'échange d'écritures.</w:t>
      </w:r>
    </w:p>
    <w:p>
      <w:r>
        <w:rPr>
          <w:b/>
        </w:rPr>
        <w:t>E. 2</w:t>
      </w:r>
    </w:p>
    <w:p>
      <w:r>
        <w:t>Le Tribunal fédéral examine d'office et librement la recevabilité des recours qui lui sont soumis.</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w:t>
      </w:r>
    </w:p>
    <w:p>
      <w:r>
        <w:t>La recourante ne développe aucune argumentation topique en lien avec l'irrecevabilité de sa demande d'annulation motivée par le non-paiement de l'avance de frais requise, se bornant à alléguer n'avoir aucun moyen financier pour s'en acquitter. Elle ne cherche pas à démontrer en quoi la Chambre constitutionnelle aurait fait une application arbitraire de l'art. 86 al. 2 de la loi genevoise sur la procédure administrative du 12 septembre 1985 en déclarant sa demande irrecevable faute de paiement de l'avance de frais. Elle n'indique pas sur quelle base elle aurait pu prétendre à l'annulation des décisions d'irrecevabilité rendues à son égard par la Chambre constitutionnelle. Elle n'expose en particulier pas les raisons pour lesquelles elle n'a pas recouru contre les refus successifs de lui octroyer l'assistance juridique devant la Cour de justice puis, en dernier ressort, auprès du Tribunal fédéral, alors qu'elle aurait pu le faire (cf. arrêt 1C_600/2020 du 28 octobre 2020 consid. 2). En tant qu'elle allègue que dite juridiction aurait violé la garantie du juge impartial ancrée aux art. 30 al. 1 Cst. et 6 par 1 CEDH en ne statuant pas au fond et en permettant ainsi que des violations de la Constitution soient maintenues, elle s'en prend au fond du litige et non au motif ayant conduit à déclarer sa demande irrecevable. Les exigences de motivation accrue déduites de l' art. 106 al. 2 LTF ne sont pas satisfaites.</w:t>
      </w:r>
    </w:p>
    <w:p>
      <w:r>
        <w:rPr>
          <w:b/>
        </w:rPr>
        <w:t>E. 3</w:t>
      </w:r>
    </w:p>
    <w:p>
      <w:r>
        <w:t>Le recours doit être déclaré irrecevable selon la procédure simplifiée prévue par l' art. 108 al. 1 let.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