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1C_486/2021 vom 7. Oktober 2021</w:t>
      </w:r>
    </w:p>
    <w:p>
      <w:r>
        <w:t>Bundesgericht, 2021-10-07, DE</w:t>
      </w:r>
    </w:p>
    <w:p>
      <w:r>
        <w:rPr>
          <w:b/>
        </w:rPr>
        <w:t xml:space="preserve">Quelle: </w:t>
      </w:r>
      <w:r>
        <w:t>https://mcp.opencaselaw.ch/entscheid/bger_1C_486_2021</w:t>
      </w:r>
    </w:p>
    <w:p>
      <w:r>
        <w:t>FR: TF 1C_486/2021 du 7 octobre 2021</w:t>
      </w:r>
    </w:p>
    <w:p>
      <w:r>
        <w:t>IT: TF 1C_486/2021 del 7 ottobre 2021</w:t>
      </w:r>
    </w:p>
    <w:p>
      <w:pPr>
        <w:pStyle w:val="Heading2"/>
      </w:pPr>
      <w:r>
        <w:t>Erwägungen</w:t>
      </w:r>
    </w:p>
    <w:p>
      <w:r>
        <w:rPr>
          <w:b/>
        </w:rPr>
        <w:t>E. 1</w:t>
      </w:r>
    </w:p>
    <w:p>
      <w:r>
        <w:t>Am 16. März 2021 erteilte die Baukommission der Stadt Solothurn der B.________ die Baubewilligung für den Neubau ihres Hauptsitzes auf der Parzelle GB Nr. 5029 in Solothurn. Auf die Einsprache von A.________ trat sie nicht ein mit der Begründung, ihm fehle die Einsprachebefugnis.</w:t>
      </w:r>
    </w:p>
    <w:p>
      <w:r>
        <w:t>Am 24. Juni 2021 wies das Bau- und Justizdepartement des Kantons Solothurn (BJD) die Beschwerde von A.________ gegen die Baubewilligung ab.</w:t>
      </w:r>
    </w:p>
    <w:p>
      <w:r>
        <w:t>Am 29. Juli 2021 wies das Verwaltungsgericht des Kantons Solothurn die von A.________ gegen diese Verfügung des BJD erhobene Beschwerde ab, soweit es darauf eintrat.</w:t>
      </w:r>
    </w:p>
    <w:p>
      <w:r>
        <w:t>Mit Eingabe vom 26. August 2021, ergänzt durch eine solche vom 9. September 2021, erhebt A.________ Beschwerde gegen diesen Entscheid des Verwaltungsgerichts, sinngemäss mit dem Antrag, ihn und die Baubewilligung aufzuheben.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Verwaltungsgericht hat das Nichteintreten auf die Einsprache des Beschwerdeführers mit der (zutreffenden) Begründung geschützt, die Einspracheberechtigung setze (u.a.) eine bestimmte Beziehungsnähe zur Streitsache voraus. In der Praxis werde bei Einsprachen durch Nachbarn verlangt, dass deren Liegenschaft nicht mehr als 100 m vom Baugrundstück entfernt sei. Die Liegenschaft des Beschwerdeführers sei rund 650 m vom Baugrundstück entfernt und liege damit weit ausserhalb des üblichen Einspracheperimeters. Es seien weder Gründe dargetan noch ersichtlich, aus denen der Beschwerdeführer trotz dieser grossen Entfernung zur Einsprache berechtigt sein könnte.</w:t>
      </w:r>
    </w:p>
    <w:p>
      <w:r>
        <w:t>Mit diesen Erwägungen setzt sich der Beschwerdeführer nicht auseinander sondern bringt vielmehr im Wesentlichen bloss seine Auffassung vor, dass dieser Neubau, den "kein Mensch brauche", in verschiedenster Hinsicht widerrechtlich sei. Mit diesen Ausführungen legt der Beschwerdeführer nicht in einer den gesetzlichen Begründungsanforderungen entsprechenden Weise dar, inwiefern der angefochtene Entscheid Bundesrecht verletzen soll, und das ist auch nicht ersichtlich. 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