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 486/2016 vom 9. August 2017</w:t>
      </w:r>
    </w:p>
    <w:p>
      <w:r>
        <w:t>Bundesgericht, 2017-08-09, IT</w:t>
      </w:r>
    </w:p>
    <w:p>
      <w:r>
        <w:rPr>
          <w:b/>
        </w:rPr>
        <w:t xml:space="preserve">Quelle: </w:t>
      </w:r>
      <w:r>
        <w:t>https://mcp.opencaselaw.ch/entscheid/bger_1C_486_2016</w:t>
      </w:r>
    </w:p>
    <w:p>
      <w:r>
        <w:t>FR: TF 1C 486/2016 du 9 août 2017</w:t>
      </w:r>
    </w:p>
    <w:p>
      <w:r>
        <w:t>IT: TF 1C 486/2016 del 9 agosto 2017</w:t>
      </w:r>
    </w:p>
    <w:p>
      <w:pPr>
        <w:pStyle w:val="Heading2"/>
      </w:pPr>
      <w:r>
        <w:t>Regeste</w:t>
      </w:r>
    </w:p>
    <w:p>
      <w:r>
        <w:t>annullamento della naturalizzazione agevolata | Cittadinanza e diritto degli stranieri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Il ricorso, in quanto ammissibile, dev'essere pertanto respinto. Le spese seguono la soccombenza ( art. 66 cpv. 1 LTF ). La domanda di gratuito patrocinio e di assistenza giudiziaria dev'essere respinta, già perché le conclusioni ricorsuali erano fin dall'inizio prive di probabilità di successo ( art. 64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