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1C_486/2008 vom 11. November 2008</w:t>
      </w:r>
    </w:p>
    <w:p>
      <w:r>
        <w:t>Bundesgericht, 2008-11-11, IT</w:t>
      </w:r>
    </w:p>
    <w:p>
      <w:r>
        <w:rPr>
          <w:b/>
        </w:rPr>
        <w:t xml:space="preserve">Quelle: </w:t>
      </w:r>
      <w:r>
        <w:t>https://mcp.opencaselaw.ch/entscheid/bger_1C_486_2008</w:t>
      </w:r>
    </w:p>
    <w:p>
      <w:r>
        <w:t>FR: TF 1C_486/2008 du 11 novembre 2008</w:t>
      </w:r>
    </w:p>
    <w:p>
      <w:r>
        <w:t>IT: TF 1C_486/2008 del 11 novembre 2008</w:t>
      </w:r>
    </w:p>
    <w:p>
      <w:pPr>
        <w:pStyle w:val="Heading2"/>
      </w:pPr>
      <w:r>
        <w:t>Erwägungen</w:t>
      </w:r>
    </w:p>
    <w:p>
      <w:r>
        <w:rPr>
          <w:b/>
        </w:rPr>
        <w:t>E. 1.1</w:t>
      </w:r>
    </w:p>
    <w:p>
      <w:r>
        <w:t>Conformemente all' art. 109 cpv. 1 LTF , la Corte giudica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La ricorrente sostiene che si sarebbe in presenza di un importante caso di violazione del diritto di essere sentito nonchè del principio della proporzionalità e pertanto della lesione di elementari principi procedurali. L'assunto è infondato.</w:t>
      </w:r>
    </w:p>
    <w:p>
      <w:r>
        <w:rPr>
          <w:b/>
        </w:rPr>
        <w:t>E. 2.2</w:t>
      </w:r>
    </w:p>
    <w:p>
      <w:r>
        <w:t>La II Corte dei ricorsi penali (II CRP) ha rilevato che la ricorrente non è stata invitata, prima dell'emanazione della decisione di chiusura, a esprimersi sugli atti che il MPC intendeva trasmettere all'Italia. Ha nondimeno ritenuto che nella fattispecie la ricorrente era a conoscenza delle richieste misure di assistenza e dell'ordine di sequestro del 12/19 novembre 2007, eseguito il 19 novembre successivo. In ossequio al principio della buona fede, essa doveva pertanto intervenire presso il MPC: la sua attitudine passiva, la decisione di chiusura essendo stata adottata soltanto il 18 luglio 2008, non comporta quindi una violazione del suo diritto di essere sentito. D'altra parte, la II CRP, che dispone di pieno potere cognitivo in fatto e in diritto, ha ritenuto che un'eventuale lesione di detto diritto sarebbe stata sanata, poiché dinanzi ad essa la ricorrente ha potuto consultare gli atti bancari e, in sede di replica, esprimersi compiutamente sugli stessi.</w:t>
      </w:r>
    </w:p>
    <w:p>
      <w:r>
        <w:rPr>
          <w:b/>
        </w:rPr>
        <w:t>E. 2.3</w:t>
      </w:r>
    </w:p>
    <w:p>
      <w:r>
        <w:t>Certo, è pacifico che il MPC doveva impartire un termine alla ricorrente per concederle l'occasione concreta ed effettiva di esprimersi, nell'ambito della cernita, sui documenti litigiosi ( DTF 130 II 14 consid. 4.3-4.4; 126 II 258 consid. 9b/aa-cc). La ricorrente, limitandosi ad esprimersi in maniera generica su questa questione, non spiega, tanto meno con una motivazione conforme alle esigenze dell' art. 42 cpv. 2 LTF , perché l'accertato vizio non poteva essere sanato, in via comunque straordinaria, nel quadro della procedura di ricorso, come ritenuto dalla giurisprudenza ( DTF 124 II 132 consid. 2d; sentenze 1A.216/2001 del 21 marzo 2002 consid. 3 e 1A.160/2003 del 10 settembre 2003 consid. 2.3; ROBERT ZIMMERMANN, La coopération judiciaire internationale en matière pénale, 2a ed., 2004, n. 271 pag. 318, n. 265).</w:t>
      </w:r>
    </w:p>
    <w:p>
      <w:r>
        <w:rPr>
          <w:b/>
        </w:rPr>
        <w:t>E. 2.4</w:t>
      </w:r>
    </w:p>
    <w:p>
      <w:r>
        <w:t>Contrariamente all'assunto ricorsuale, non si è neppure in presenza di una lesione del principio della proporzionalità. L'istanza precedente ha infatti ritenuto, a ragione, che il MP, ordinando la trasmissione di documenti riguardanti la cessione di un determinato calciatore a un'altra squadra di calcio che non era la C.________S.p.A., non è andato oltre i provvedimenti postulati dall'autorità estera, visto ch'esso, per i motivi esposti nel giudizio impugnato, poteva interpretare in maniera estensiva la domanda, evitando in tal modo la presentazione di un'eventuale richiesta complementare ( DTF 121 II 241 consid. 3).</w:t>
      </w:r>
    </w:p>
    <w:p>
      <w:r>
        <w:rPr>
          <w:b/>
        </w:rPr>
        <w:t>E. 3.1</w:t>
      </w:r>
    </w:p>
    <w:p>
      <w:r>
        <w:t>La criticata decisione non si scosta dalla giurisprudenza costante, né si è in presenza di una lesione di elementari principi di procedura ( DTF 133 IV 131 consid. 3, 215 consid. 1.2 pag. 218). Il ricorso è quindi inammissibile.</w:t>
      </w:r>
    </w:p>
    <w:p>
      <w:r>
        <w:rPr>
          <w:b/>
        </w:rPr>
        <w:t>E. 3.2</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