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1C_484/2021 vom 31. August 2021</w:t>
      </w:r>
    </w:p>
    <w:p>
      <w:r>
        <w:t>Bundesgericht, 2021-08-31, DE</w:t>
      </w:r>
    </w:p>
    <w:p>
      <w:r>
        <w:rPr>
          <w:b/>
        </w:rPr>
        <w:t xml:space="preserve">Quelle: </w:t>
      </w:r>
      <w:r>
        <w:t>https://mcp.opencaselaw.ch/entscheid/bger_1C_484_2021</w:t>
      </w:r>
    </w:p>
    <w:p>
      <w:r>
        <w:t>FR: TF 1C_484/2021 du 31 août 2021</w:t>
      </w:r>
    </w:p>
    <w:p>
      <w:r>
        <w:t>IT: TF 1C_484/2021 del 31 agosto 2021</w:t>
      </w:r>
    </w:p>
    <w:p>
      <w:pPr>
        <w:pStyle w:val="Heading2"/>
      </w:pPr>
      <w:r>
        <w:t>Erwägungen</w:t>
      </w:r>
    </w:p>
    <w:p>
      <w:r>
        <w:rPr>
          <w:b/>
        </w:rPr>
        <w:t>E. 1</w:t>
      </w:r>
    </w:p>
    <w:p>
      <w:r>
        <w:t>Die Verfahrensleitung der 4. Abteilung des Kantonsgerichts Luzern forderte A.________ mit Verfügung vom 23. August 2021 auf, bis 7. September 2021 gestützt auf § 195 Abs. 1 des Gesetzes über die Verwaltungsrechtspflege des Kantons Luzern (VRG) einen Kostenvorschuss von Fr. 1'000.-- zu leisten, ansonsten auf die Rechtsvorkehr, unter Kostenfolgen, nicht eingetreten werde (§ 195 Abs. 2 VRG).</w:t>
      </w:r>
    </w:p>
    <w:p>
      <w:r>
        <w:rPr>
          <w:b/>
        </w:rPr>
        <w:t>E. 2</w:t>
      </w:r>
    </w:p>
    <w:p>
      <w:r>
        <w:t>Mit Eingabe vom 27. August 2021 erhob A.________ Beschwerde gegen die Verfügung der 4. Abteilung des Kantonsgerichts Luzern.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nennt keinen zulässigen Beschwerdegrund. Soweit er sinngemäss eine Verletzung seines Anspruchs auf unentgeltliche Rechtspflege geltend machen will, behauptet er nicht, dass er ein solches Gesuch gestellt hätte. Weshalb sein Anspruch auf unentgeltliche Rechtspflege gleichwohl verletzt worden sein sollte, ist weder ersichtlich noch legt er dies dar. Aus seinen Ausführungen ergibt sich nicht, inwiefern die Verfügung der 4. Abteilung des Kantonsgerichts Luzern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