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483/2010 vom 2. November 2010</w:t>
      </w:r>
    </w:p>
    <w:p>
      <w:r>
        <w:t>Bundesgericht, 2010-11-02, DE</w:t>
      </w:r>
    </w:p>
    <w:p>
      <w:r>
        <w:rPr>
          <w:b/>
        </w:rPr>
        <w:t xml:space="preserve">Quelle: </w:t>
      </w:r>
      <w:r>
        <w:t>https://mcp.opencaselaw.ch/entscheid/bger_1C_483_2010</w:t>
      </w:r>
    </w:p>
    <w:p>
      <w:r>
        <w:t>FR: TF 1C 483/2010 du 2 novembre 2010</w:t>
      </w:r>
    </w:p>
    <w:p>
      <w:r>
        <w:t>IT: TF 1C 483/2010 del 2 novembre 2010</w:t>
      </w:r>
    </w:p>
    <w:p>
      <w:pPr>
        <w:pStyle w:val="Heading2"/>
      </w:pPr>
      <w:r>
        <w:t>Regeste</w:t>
      </w:r>
    </w:p>
    <w:p>
      <w:r>
        <w:t>Beschluss des Kantonsrates über die Bewilligung eines Beitrages für den Erweiterungsbau des Schweizerischen Landesmuseums Zürich aus dem Lotteriefonds | Politische Rechte</w:t>
      </w:r>
    </w:p>
    <w:p>
      <w:pPr>
        <w:pStyle w:val="Heading2"/>
      </w:pPr>
      <w:r>
        <w:t>Erwägungen</w:t>
      </w:r>
    </w:p>
    <w:p>
      <w:r>
        <w:rPr>
          <w:b/>
        </w:rPr>
        <w:t>E. 1</w:t>
      </w:r>
    </w:p>
    <w:p>
      <w:r>
        <w:t>Die Beschwerdeführer verlangen die Aufhebung des angefochtenen Kantonsratsbeschlusses. Sie machen keine Verletzung ihrer politischen Rechte geltend; eine Stimmrechtsverletzung ist auch nicht ersichtlich, nachdem der Ausgabenbeschluss nunmehr dem fakultativen Referendum unterstellt worden ist. Vielmehr rügen die Beschwerdeführer, der Einsatz von Mitteln des Lotteriefonds zur Finanzierung des Museumserweiterungsbaus widerspreche Bundesrecht, namentlich Art. 5 Abs. 2 des Bundesgesetzes vom 8. Juni 1923 betreffend die Lotterien und die gewerbsmässigen Wetten (LG; SR 935.51). Es handelt sich somit nicht um eine Beschwerde betreffend die politische Stimmberechtigung der Bürger i.S.v. Art. 82 lit. c BGG , sondern um eine Beschwerde gegen Entscheide in Angelegenheiten des öffentlichen Rechts i.S.v. Art. 82 lit. a BGG (vgl. Urteil 1P.63/1997 vom 18. Juni 1997 E. 3c, publ. in: ZBl 99/1998 S. 91). Gegenstand dieser Beschwerde sind Entscheide, d.h. hoheitliche Anordnungen mit verbindlichen Rechtswirkungen für den einzelnen Bürger (vgl. Bernhard Waldmann, in: Basler Kommentar zum BGG, N. 8 ff. zu Art. 82 BGG ). Unterliegt ein Beschluss dem fakultativen Referendum, so wird er erst verbindlich, wenn die Referendumsfrist ungenutzt abgelaufen oder (sofern das Referendum ergriffen wurde) der Beschluss in der Volksabstimmung angenommen worden ist. Dementsprechend beginnt auch die Beschwerdefrist erst mit der Publikation zu laufen, aus der sich ergibt, dass der Beschluss definitiv zustande gekommen ist (Urteil 2C_53/2008 vom 22. August 2008 E. 2.3.1; vgl. auch BGE 130 I 82 E. 1.2 S. 84 f. mit Hinweisen zu Art. 89 OG ). Im vorliegenden Fall hat die Abstimmung noch nicht stattgefunden, weshalb noch ungewiss ist, ob der streitige Ausgabenbeschluss überhaupt zustande kommen wird. Derzeit liegt noch kein verbindlicher Entscheid vor, der Gegenstand einer Beschwerde i.S.v. Art. 82 lit. a BGG sein könnte. Die Beschwerde ist daher offensichtlich verfrüht. Nach der früheren bundesgerichtlichen Praxis wurden verfrüht eingereichte Beschwerden sistiert, bis der angefochtene Entscheid/Erlass definitiv angenommen worden war und damit in Kraft treten konnte (vgl. z.B. BGE 108 I 122 E. 1a S. 130). Dagegen ist das Bundesgericht in jüngeren Entscheiden auf verfrühte Beschwerden jedenfalls dann nicht eingetreten, wenn zweifelhaft war, ob der angefochtene Erlass oder Entscheid überhaupt zustande kommen würde, namentlich weil noch eine Volksabstimmung bevorstand (vgl. Urteil 2P.52/2005 vom 4. Februar 2005 E. 4). Im vorliegenden Fall haben die Beschwerdeführer beantragt, die Abstimmung sei bis zum gerichtlichen Entscheid über ihre Beschwerde auszusetzen. Sie streben also einen gerichtlichen Entscheid noch vor der Abstimmung an, der diese - im Gutheissungsfall - überflüssig machen würde. Dieses Ziel kann jedoch nicht erreicht werden. Unter diesen Umständen rechtfertigt es sich nicht, das bundesgerichtliche Verfahren zu sistieren.</w:t>
      </w:r>
    </w:p>
    <w:p>
      <w:r>
        <w:rPr>
          <w:b/>
        </w:rPr>
        <w:t>E. 2</w:t>
      </w:r>
    </w:p>
    <w:p>
      <w:r>
        <w:t>Nach dem Gesagten ist auf die Beschwerde schon mangels eines tauglichen Anfechtungsobjekts nicht einzutreten. Es kann daher offen bleiben, ob die Voraussetzungen von Art. 86 Abs. 3 BGG (Entscheid mit vorwiegend politischem Charakter) vorliegen, ob die Beschwerdeführer überhaupt zur Beschwerde legitimiert wären ( Art. 89 Abs. 1 BGG ) und ob die Rüge der Bundesrechtswidrigkeit des Ausgabenbeschlusses nicht schon im ersten bundesgerichtlichen Verfahren hätte erhoben werden müssen. Bei diesem Ausgang des Verfahrens werden die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