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482/2010 vom 14. April 2011</w:t>
      </w:r>
    </w:p>
    <w:p>
      <w:r>
        <w:t>Bundesgericht, 2011-04-14, FR</w:t>
      </w:r>
    </w:p>
    <w:p>
      <w:r>
        <w:rPr>
          <w:b/>
        </w:rPr>
        <w:t xml:space="preserve">Quelle: </w:t>
      </w:r>
      <w:r>
        <w:t>https://mcp.opencaselaw.ch/entscheid/bger_1C_482_2010</w:t>
      </w:r>
    </w:p>
    <w:p>
      <w:r>
        <w:t>FR: TF 1C 482/2010 du 14 avril 2011</w:t>
      </w:r>
    </w:p>
    <w:p>
      <w:r>
        <w:t>IT: TF 1C 482/2010 del 14 aprile 2011</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Les recourants sont particulièrement touchés par la décision attaquée, qui confirme l'autorisation du projet litigieux sur une parcelle voisine de leurs bien-fonds, si bien qu'ils ont la qualité pour recourir au sens de l' art. 89 al. 1 LTF (cf. ATF 133 II 249 consid. 1.3.1 p. 252 s.; 121 II 171 consid. 2b p. 174; 115 Ib 508 consid. 5c p. 511).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Les recourants requièrent la coordination de la présente cause avec la procédure 1C_436/2010 relative à la requête visant à l'établissement d'un plan de quartier "La Frasse-Dessous". Bien que les recourants fassent partie des personnes ayant requis le plan de quartier et même si le projet litigieux doit être réalisé dans le secteur concerné, les parties aux deux procédures ne sont pas les mêmes - les recourants n'étant pas parties dans la cause précitée -, les litiges ont des objets différents, ont été instruits dans des procédures distinctes et ont été tranchés dans deux arrêts rendus à un mois d'intervalle, ce qui a donné lieu à des instructions séparées devant le Tribunal fédéral également. Il n'y a dès lors aucun motif de coordination ou d'économie de procédure qui justifierait de joindre ces deux causes à ce stade, de sorte que, à supposer que la requête des recourants vise une jonction de causes, elle doit être rejetée.</w:t>
      </w:r>
    </w:p>
    <w:p>
      <w:r>
        <w:rPr>
          <w:b/>
        </w:rPr>
        <w:t>E. 3</w:t>
      </w:r>
    </w:p>
    <w:p>
      <w:r>
        <w:t>Dans la partie "faits" de leur écriture, les recourants mentionnent une violation de leur droit d'être entendus, au motif qu'ils n'ont pas été invités à se déterminer sur des pièces versées en cause par l'intimée ainsi que sur le procès-verbal de l'inspection locale. Ils font également grief à la commune d'avoir transmis au tribunal une version tronquée d'une étude.</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droit de consulter le dossier s'étend à toutes les pièces décisives ( ATF 132 II 485 consid. 3.2 p. 494;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Le droit de consulter le dossier n'est en général accordé que sur demande (arrêt 2A.275/2006 du 9 janvier 2007 consid. 3.1 et les références citées; MICHELE ALBERTINI, Der verfassungsmässige Anspruch auf rechtliches Gehör im Verwaltungsverfahren des modernen Staates, thèse Berne 2000, p. 218 et 248; ALFRED KÖLZ/ISABELLE HÄNER, Verwaltungsverfahren und Verwaltungsrechtspflege des Bundes, 2ème éd., 1998, n. 298 p. 109).</w:t>
      </w:r>
    </w:p>
    <w:p>
      <w:r>
        <w:rPr>
          <w:b/>
        </w:rPr>
        <w:t>E. 3.2</w:t>
      </w:r>
    </w:p>
    <w:p>
      <w:r>
        <w:t>En l'espèce, les recourants ne prétendent pas avoir demandé à pouvoir s'exprimer sur les pièces versées en cause par l'intimée lors de l'audience d'inspection locale, mais ils soutiennent que le Tribunal cantonal aurait omis à tort de les interpeller à cet égard. Ils n'expliquent cependant pas pour quelle raison ils auraient dû être expressément invités à se déterminer sur ces documents. Dans sa réponse, l'intimée expose en outre qu'une copie de ces pièces a été remise en audience au mandataire des recourants sans provoquer de réaction de sa part, ce que les recourants ne contestent pas. Or, selon le principe de la confiance, on pouvait attendre du mandataire en question qu'il ne reste pas inactif s'il estimait nécessaire de s'exprimer sur ces documents (cf. arrêt 2A.275/2006 précité, consid. 3.2). Les recourants n'expliquent pas non plus pourquoi il aurait été nécessaire de leur impartir un délai pour se déterminer sur le procès-verbal de l'audience d'inspection locale, ni en quoi une soi-disant omission de la commune de verser en cause un document complémentaire violerait leur droit d'être entendus. En définitive, les recourants ne démontrent pas, par une argumentation répondant aux exigences de motivation déduites des art. 42 al. 2 et 106 al. 2 LTF, en quoi leur droit d'être entendus aurait été concrètement violé, de sorte que ce premier moyen doit être déclaré irrecevable.</w:t>
      </w:r>
    </w:p>
    <w:p>
      <w:r>
        <w:rPr>
          <w:b/>
        </w:rPr>
        <w:t>E. 4</w:t>
      </w:r>
    </w:p>
    <w:p>
      <w:r>
        <w:t>Les recourants relèvent en outre une prétendue erreur dans la constatation du nombre de logements que comprendra le projet litigieux. Ce grief relève de la constatation des faits. Or, sauf exceptions dont aucune n'est réalisée en l'espèce, le Tribunal fédéral statue en principe sur la base des faits établis par l'autorité précédente ( art. 105 LTF ; cf. ATF 134 V 53 consid. 4.3 p. 62). Il appartient au recourant de démontrer que les faits ont été établis de façon manifestement inexacte ou en violation du droit, par une argumentation répondant aux exigences de motivation de l' art. 42 al. 2 LTF . Une telle démonstration faisant défaut en l'espèce, il n'y a pas lieu de s'écarter des faits retenus dans la décision attaquée.</w:t>
      </w:r>
    </w:p>
    <w:p>
      <w:r>
        <w:rPr>
          <w:b/>
        </w:rPr>
        <w:t>E. 5</w:t>
      </w:r>
    </w:p>
    <w:p>
      <w:r>
        <w:t>Les recourants se plaignent par ailleurs d'une violation des art. 23 et 33 LAT , au motif que le Tribunal cantonal a confirmé l'autorisation de balcons aux surcombles (sur la façade pignon) en vertu de l'égalité dans l'illégalité. De tels balcons sont en effet proscrits par l'art. 20 al. 4 RPE.</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Cela étant, une importance plus grande doit être accordée au principe de la légalité dans certains domaines du droit; il en va ainsi en matière d'aménagement du territoire, en particulier lorsque des intérêts dignes de protection des voisins sont en cause (cf. BEATRICE WEBER-DÜRLER, Zum Anspruch auf Gleichbehandlung in der Rechtsanwendung, ZBl 105/2004 p. 23; PIERRE TSCHANNEN, Gleichheit im Unrecht: Gerichtsstrafe im Grundrechtskleid, ZBl 112/2011 p. 80).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Si elle estime, plusieurs années après l'entrée en vigueur d'un plan d'affectation spécial, que certaines dispositions ne sont plus appropriées à cause de l'évolution des circonstances, elle peut - ou doit, le cas échéant - engager une procédure de révision de ce plan, conformément à la règle de l' art. 21 al. 2 LAT (cf. ATF 132 II 408 consid. 4.2 p. 413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(arrêt 1P.44/2006 du 18 janvier 2007 consid. 2.2).</w:t>
      </w:r>
    </w:p>
    <w:p>
      <w:r>
        <w:rPr>
          <w:b/>
        </w:rPr>
        <w:t>E. 5.2</w:t>
      </w:r>
    </w:p>
    <w:p>
      <w:r>
        <w:t>En l'occurrence, l'art. 20 al. 4 RPE interdit les balcons aux surcombles dans la zone de chalets. Le Tribunal cantonal a toutefois considéré que l'intimée pouvait se prévaloir de l'égalité dans l'illégalité, dans la mesure où la municipalité avait indiqué qu'elle autorisait de tels balcons sur tout le territoire communal, selon une pratique constante instaurée trois ans auparavant "pour des motifs d'harmonie et d'esthétique". La municipalité en question a effectivement confirmé qu'elle avait déjà autorisé des balcons aux surcombles pour d'autres constructions et qu'elle voulait les autoriser systématiquement à l'avenir, en précisant qu'il était prévu de modifier le règlement sur ce point. Il est donc établi que le non-respect de l'art. 20 al. 4 RPE est bien une pratique constante, que l'autorité communale compétente entend poursuivre à l'avenir. Il reste à examiner si le respect de la légalité ne s'impose pas en vertu d'un intérêt public ou privé prépondérant. L'intérêt privé des recourants n'apparaît pas décisif en l'espèce, ces derniers n'expliquant pas en quoi ils seraient incommodés par les balcons en question. Ils ne prétendent pas non plus avoir été privés de la possibilité d'installer de tels ouvrages sur leurs immeubles ou traités de manière inéquitable. Seul un intérêt public serait donc susceptible de faire obstacle à l'autorisation contestée. On pourrait voir un tel intérêt dans la sécurité juridique, les citoyens étant en droit d'attendre une application correcte et prévisible des normes en vigueur. En l'occurrence, l'application erronée du règlement communal est cependant compensée par la constance de la pratique litigieuse, ce que permet précisément, à titre exceptionnel, la jurisprudence relative à l'égalité dans l'illégalité. Il sied en outre de relever que la disposition litigieuse n'est pas un norme de droit fédéral, mais qu'il s'agit de droit communal, qui règle un domaine relevant du pouvoir d'appréciation du législateur communal et dont le non respect n'entraîne pas d'inconvénients majeurs. De plus, la municipalité a fait part de son intention de modifier le règlement sur ce point (cf. observations adressés le 8 octobre 2009 au Tribunal cantonal). Dans ces conditions particulières, dès lors qu'aucun intérêt digne de protection n'impose l'application de la norme communale litigieuse, l'appréciation du Tribunal cantonal peut être confirmée. Cela étant, la pratique contraire au règlement communal en vigueur ne saurait se prolonger indéfiniment, de sorte que la commune est invitée à mener à chef sans tarder les démarches nécessaires à la modification dudit règlement sur ce point.</w:t>
      </w:r>
    </w:p>
    <w:p>
      <w:r>
        <w:rPr>
          <w:b/>
        </w:rPr>
        <w:t>E. 5.3</w:t>
      </w:r>
    </w:p>
    <w:p>
      <w:r>
        <w:t>Dans la mesure où les balcons aux surcombles peuvent être autorisés exceptionnellement en raison de l'égalité dans l'illégalité, il n'y a plus de place pour une application des art. 23 LAT - relatif aux exceptions à l'intérieur de la zone à bâtir - et 33 LAT - réglant la mise à l'enquête et les recours contre les plans d'affectation - de sorte que ce grief doit être rejeté.</w:t>
      </w:r>
    </w:p>
    <w:p>
      <w:r>
        <w:rPr>
          <w:b/>
        </w:rPr>
        <w:t>E. 6</w:t>
      </w:r>
    </w:p>
    <w:p>
      <w:r>
        <w:t>Les recourants se plaignent enfin d'un équipement insuffisant de la parcelle litigieuse, en raison d'un accès routier prétendument dangereux.</w:t>
      </w:r>
    </w:p>
    <w:p>
      <w:r>
        <w:rPr>
          <w:b/>
        </w:rPr>
        <w:t>E. 6.1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1C_221/2007 du 3 mars 2008 consid. 7.2; arrêt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 OFAT, Etude relative à la loi fédérale sur l'aménagement du territoire, 1981, n. 12 s. ad art. 19 LAT ; URS EYMANN, Droit de l'équipement et programme d'équipement, éd. DFJP/OFAT, 1999, p. 9; ANDRÉ JOMINI, in Commentaire de la Loi fédérale sur l'aménagement du territoire, 2010, n. 20 ad art. 19 LAT ). Il en va de même si l'accroissement du trafic provoque des atteintes nuisibles ou incommodantes dans le voisinage ( ATF 119 Ib 480 consid. 6a p. 488; 116 Ib 159 consid. 6b p. 166 s.). Les autorités communales et cantonales disposent en ce domaine d'un important pouvoir d'appréciation, que le Tribunal fédéral doit respecter ( ATF 121 I 65 consid. 3a in fine p. 68; 96 I 369 consid. 4 p. 373).</w:t>
      </w:r>
    </w:p>
    <w:p>
      <w:r>
        <w:rPr>
          <w:b/>
        </w:rPr>
        <w:t>E. 6.2</w:t>
      </w:r>
    </w:p>
    <w:p>
      <w:r>
        <w:t>En l'occurrence, le Tribunal cantonal considère que le projet litigieux n'aura pas de conséquences négatives sur la sécurité des usagers et la fluidité du trafic sur la route de la Frasse. Il relève en particulier que le débouché sur la route depuis la rampe du parking souterrain ne pose pas de problèmes de visibilité et qu'il permettra une sortie sécurisée des véhicules. Quant au trafic supplémentaire généré par quinze nouveaux logements de vacances, il n'aura pas d'incidences négatives sur la voie d'accès en cause, ce d'autant moins que la route de la Frasse forme une boucle rendant le quartier accessible aussi bien par le nord que par le sud. Les recourants ne remettent pas en cause cette appréciation de manière convaincante. Ils se bornent en effet à affirmer, sans aucunement le démontrer, que la route en question est "techniquement dangereuse" en raison d'une circulation à double sens, d'une limitation de vitesse à 50 km/h, de l'absence de trottoirs ou encore de l'impossibilité pour les cars de rejoindre un chalet hébergeant des groupes. Ces faits ne ressortent pas de l'arrêt attaqué et les recourants ne démontrent pas, comme il leur appartenait de le faire, un établissement manifestement inexact des faits au sens de l' art. 105 al. 2 LTF (cf. supra consid. 4). Le Tribunal fédéral ne saurait dès lors s'écarter des faits établis par l'autorité précédente, sur la base desquels la solution retenue ne peut qu'être confirmée. En effet, les recourants n'apportent aucun élément susceptible de mettre en doute le caractère suffisant de la voie d'accès. Il y a donc lieu de constater que les juges cantonaux n'ont pas abusé de leur large pouvoir d'appréciation en considérant que la route d'accès ne posait pas de problèmes de sécurité et qu'elle pourrait absorber le trafic généré par le projet litigieux, de sorte que le terrain était suffisamment équipé au sens de l' art. 19 LAT .</w:t>
      </w:r>
    </w:p>
    <w:p>
      <w:r>
        <w:rPr>
          <w:b/>
        </w:rPr>
        <w:t>E. 7</w:t>
      </w:r>
    </w:p>
    <w:p>
      <w:r>
        <w:t>Il s'ensuit que le recours doit être rejeté, dans la mesure de sa recevabilité. Les recourants, qui succombent, doivent supporter les frais de la présente procédure ( art. 66 al. 1 LTF ). Ils verseront en outre une indemnité à titre de dépens à l'intimée, qui s'est déterminée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