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1C_481/2017 vom 19. September 2017</w:t>
      </w:r>
    </w:p>
    <w:p>
      <w:r>
        <w:t>Bundesgericht, 2017-09-19, DE</w:t>
      </w:r>
    </w:p>
    <w:p>
      <w:r>
        <w:rPr>
          <w:b/>
        </w:rPr>
        <w:t xml:space="preserve">Quelle: </w:t>
      </w:r>
      <w:r>
        <w:t>https://mcp.opencaselaw.ch/entscheid/bger_1C_481_2017</w:t>
      </w:r>
    </w:p>
    <w:p>
      <w:r>
        <w:t>FR: TF 1C_481/2017 du 19 septembre 2017</w:t>
      </w:r>
    </w:p>
    <w:p>
      <w:r>
        <w:t>IT: TF 1C_481/2017 del 19 settembre 2017</w:t>
      </w:r>
    </w:p>
    <w:p>
      <w:pPr>
        <w:pStyle w:val="Heading2"/>
      </w:pPr>
      <w:r>
        <w:t>Erwägungen</w:t>
      </w:r>
    </w:p>
    <w:p>
      <w:r>
        <w:rPr>
          <w:b/>
        </w:rPr>
        <w:t>E. 1</w:t>
      </w:r>
    </w:p>
    <w:p>
      <w:r>
        <w:t>Das Strassenverkehrs- und Schifffahrtsamt des Kantons Bern entzog A.________ mit Verfügung vom 23. August 2016 den Führerausweis auf die Dauer von zwölf Monaten. Dagegen erhob A.________ Beschwerde bei der Rekurskommission des Kantons Bern für Massnahmen gegenüber Fahrzeugführerinnen und Fahrzeugführern.</w:t>
      </w:r>
    </w:p>
    <w:p>
      <w:r>
        <w:t>Die Staatsanwaltschaft Region Oberland verurteilte A.________ mit Strafbefehl vom 23. Januar 2017 wegen grober Verkehrsregelverletzung durch Überschreiten der Höchstgeschwindigkeit innerorts von 30 km/h um netto 25 km/h zu einer bedingten Geldstrafe von 20 Tagessätzen à Fr. 90.-- sowie zu einer Verbindungsbusse von Fr. 600.--.</w:t>
      </w:r>
    </w:p>
    <w:p>
      <w:r>
        <w:t>Mit Entscheid vom 17. Mai 2017 wies die Rekurskommission des Kantons Bern für Massnahmen gegenüber Fahrzeugführerinnen und Fahrzeugführern die Beschwerde ab. Zur Begründung führte sie zusammenfassend aus, dass der Beschwerdeführer gemäss Strafbefehl die zulässige Höchstgeschwindigkeit von 30 km/h um netto 25 km/h überschritten habe. Dies stelle eine schwere Widerhandlung dar. Dem Beschwerdeführer sei in den vorangegangenen fünf Jahren der Führerausweis bereits einmal wegen einer schweren Widerhandlung entzogen worden, weshalb die Mindestentzugsdauer, die nicht unterschritten werden könne, zwölf Monate betrage. Die angefochtene Verfügung sei somit nicht zu beanstanden.</w:t>
      </w:r>
    </w:p>
    <w:p>
      <w:r>
        <w:rPr>
          <w:b/>
        </w:rPr>
        <w:t>E. 2</w:t>
      </w:r>
    </w:p>
    <w:p>
      <w:r>
        <w:t>A.________ führt mit Eingabe vom 13. September 2017 (Postaufgabe 14. September 2017) Beschwerde in öffentlich-rechtlichen Angelegenheiten gegen den Entscheid der Rekurskommission des Kantons Bern für Massnahmen gegenüber Fahrzeugführerinnen und Fahrzeugführern vom 17. Mai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keinen zulässigen Beschwerdegrund nennt, setzt sich mit der Begründung der Rekurskommission, die zur Abweisung seiner Beschwerde führte, nicht rechtsgenüglich auseinander. Er vermag nicht aufzuzeigen, inwiefern die Begründung der Rekurskommission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