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1C_481/2009 vom 4. Januar 2010</w:t>
      </w:r>
    </w:p>
    <w:p>
      <w:r>
        <w:t>Bundesgericht, 2010-01-04, DE</w:t>
      </w:r>
    </w:p>
    <w:p>
      <w:r>
        <w:rPr>
          <w:b/>
        </w:rPr>
        <w:t xml:space="preserve">Quelle: </w:t>
      </w:r>
      <w:r>
        <w:t>https://mcp.opencaselaw.ch/entscheid/bger_1C_481_2009</w:t>
      </w:r>
    </w:p>
    <w:p>
      <w:r>
        <w:t>FR: TF 1C_481/2009 du 4 janvier 2010</w:t>
      </w:r>
    </w:p>
    <w:p>
      <w:r>
        <w:t>IT: TF 1C_481/2009 del 4 gennaio 2010</w:t>
      </w:r>
    </w:p>
    <w:p>
      <w:pPr>
        <w:pStyle w:val="Heading2"/>
      </w:pPr>
      <w:r>
        <w:t>Erwägungen</w:t>
      </w:r>
    </w:p>
    <w:p>
      <w:r>
        <w:rPr>
          <w:b/>
        </w:rPr>
        <w:t>E. 1</w:t>
      </w:r>
    </w:p>
    <w:p>
      <w:r>
        <w:t>Der Beschwerdeführer stellt ein Ausstandsbegehren gegen mehrere Bundesrichter, so u.a. gegen die Bundesrichter Féraud, Aemisegger, Fonjallaz und Eusebio, da "sie in der gleichen Sache schon einmal" gegen ihn entschieden hätten. Das Bundesgericht hat dem Beschwerdeführer bereits mehrfach mitgeteilt, dass einem Richter die Unabhängigkeit nicht abgesprochen werden kann, nur weil er bereits in früheren Verfahren gegen den Beschwerdeführer entschieden hatte (vgl. Art. 34 Abs. 2 BGG ). Im Übrigen ist weder ersichtlich noch wird dies vom Beschwerdeführer dargelegt, inwiefern gegen die genannten Richter eine unzulässige Vorbefassung im Sinne der Rechtsprechung vorliegen sollte (vgl. BGE 131 I 113 E. 3.4-3.7). Das vorliegend mit nicht nachvollziehbaren Motiven begründete Ausstandsbegehren ist unzulässig, weshalb die abgelehnten Gerichtspersonen am Entscheid darüber mitwirken können.</w:t>
      </w:r>
    </w:p>
    <w:p>
      <w:r>
        <w:rPr>
          <w:b/>
        </w:rPr>
        <w:t>E. 2</w:t>
      </w:r>
    </w:p>
    <w:p>
      <w:r>
        <w:t>Gegen den Entzug des Führerausweises in einem strassenverkehrsrechtlichen Administrativverfahren steht grundsätzlich die Beschwerde in öffentlich-rechtlichen Angelegenheiten nach Art. 82 ff. BGG zur Verfügung. Angefochten ist ein kantonal letztinstanzlicher Entscheid (Art. 86 Abs. 1 lit. d) und der Beschwerdeführer ist durch den angefochtenen Entscheid besonders berührt und zur Beschwerde legitimiert ( Art. 89 Abs. 1 BGG ). Auf die Beschwerde ist somit unter dem Vorbehalt, dass die einzelnen Rügen den Begründungsanforderungen von Art. 42 Abs. 2 BGG entsprechen, einzutreten.</w:t>
      </w:r>
    </w:p>
    <w:p>
      <w:r>
        <w:rPr>
          <w:b/>
        </w:rPr>
        <w:t>E. 3.1</w:t>
      </w:r>
    </w:p>
    <w:p>
      <w:r>
        <w:t>Das Verwaltungsgericht wies das Ausstandsbegehren gegen Oberrichterin Jeger mit der Begründung ab, mit Urteil vom 30. Mai 2006 sei eine Beschwerde betreffend Rechtsverweigerung/-verzögerung abgewiesen worden. Im damaligen Verfahren sei die Arbeitsweise der Instanzen Prozessthema gewesen. Vorliegend gehe es um einen Sicherungsentzug und somit nicht um die gleiche Sache im Sinne von § 92 lit. d des kantonalen Gerichtsorganisationsgesetzes. Mit seinen Ausführungen zeigt der Beschwerdeführer nicht auf, inwiefern das Verwaltungsgericht in verfassungswidriger Weise das Ausstandsbegehren abgewiesen haben sollte. Die Beschwerde ist in diesem Punkt abzuweisen, soweit sie überhaupt den Begründungsanforderungen von Art. 42 Abs. 2 BGG zu genügen vermag.</w:t>
      </w:r>
    </w:p>
    <w:p>
      <w:r>
        <w:rPr>
          <w:b/>
        </w:rPr>
        <w:t>E. 3.2</w:t>
      </w:r>
    </w:p>
    <w:p>
      <w:r>
        <w:t>Soweit der Beschwerdeführer Ausstandsgründe gegen Mitarbeiter der Motorfahrzeugkontrolle und des Departements des Innern geltend macht, kann auf die Begründung im angefochtenen Urteil verwiesen werden ( Art. 109 Abs. 3 BGG ). Der Beschwerdeführer vermag nicht darzulegen, dass das Verwaltungsgericht insoweit verfassungswidrig entschieden hätte.</w:t>
      </w:r>
    </w:p>
    <w:p>
      <w:r>
        <w:rPr>
          <w:b/>
        </w:rPr>
        <w:t>E. 4</w:t>
      </w:r>
    </w:p>
    <w:p>
      <w:r>
        <w:t>Das Verwaltungsgericht wies den vom Beschwerdeführer gestellten Eventualantrag auf Einholung eines Obergutachtens u.a. mit der Begründung ab, gestützt auf die Akten und das Ergebnis des bisherigen Beweisverfahrens sei ein zusätzliches Gutachten nicht erforderlich. Der Beschwerdeführer vermag mit seinen Ausführungen eine willkürlicher Beweiswürdigung nicht darzulegen. Allein der Umstand, dass ihm der Schluss des Gutachtens nicht behagt, vermag die Richtigkeit der Beurteilung des Verwaltungsgerichts nicht in Frage zu stellen.</w:t>
      </w:r>
    </w:p>
    <w:p>
      <w:r>
        <w:rPr>
          <w:b/>
        </w:rPr>
        <w:t>E. 5</w:t>
      </w:r>
    </w:p>
    <w:p>
      <w:r>
        <w:t>Soweit der Beschwerdeführer die Zuständigkeit des Kantons Solothurn für das Administrativverfahren sowie die Zuständigkeit des Departements des Innern als erstinstanzliche Entzugsbehörde bestreitet, fehlt eine rechtsgenügliche Auseinandersetzung mit den entsprechenden Ausführungen im angefochtenen Urteil. Aus der Beschwerde ergibt sich nicht, inwiefern das Verwaltungsgericht in diesen Punkten Recht im Sinne von Art. 42 Abs. 2 BGG verletzt haben sollte. Wegen offensichtlichen Fehlens einer hinreichenden Begründung ist insoweit auf die Beschwerde nicht einzutreten.</w:t>
      </w:r>
    </w:p>
    <w:p>
      <w:r>
        <w:rPr>
          <w:b/>
        </w:rPr>
        <w:t>E. 6</w:t>
      </w:r>
    </w:p>
    <w:p>
      <w:r>
        <w:t>Gleich verhält es sich, soweit der Beschwerdeführer geltend macht, die kantonalen Behörden seien mit keinem Wort auf sein Revisionsgesuch betreffend Führerausweisentzug für die Kategorie D1 eingegangen. Das Verwaltungsgericht führte dazu aus, ein anfechtbarer Entscheid über ein Revisionsgesuch liege nicht vor. Der Führerausweisentzug für die Kategorie D1 sei nicht Verfahrensgegenstand; es gehe nur noch um den Führerausweis für die Kategorie B. Mit diesen Ausführungen setzt sich der Beschwerdeführer nicht auseinander und vermag keine Verletzung von Recht im Sinne von Art. 42 Abs. 2 BGG aufzuzeigen. Demzufolge ist auch in diesem Punkt auf die Beschwerde nicht einzutreten.</w:t>
      </w:r>
    </w:p>
    <w:p>
      <w:r>
        <w:rPr>
          <w:b/>
        </w:rPr>
        <w:t>E. 7</w:t>
      </w:r>
    </w:p>
    <w:p>
      <w:r>
        <w:t>Das Verwaltungsgericht bestätigte den verfügten Sicherungsentzug auf unbestimmte Zeit. Gemäss dem insgesamt stimmigen Gutachten vom 14. Januar 2009 gefährde der Beschwerdeführer als motorisierter Verkehrsteilnehmer die Verkehrssicherheit. Diesem Umstand könne nur mit einem Sicherungsentzug begegnet werden, der immer unbefristet sei und so lange daure, als die Ursache dafür bestehe. Vor diesem Hintergrund erscheine eine regelmässige Behandlung bei einem Facharzt für Psychiatrie und Psychologie während zwei Jahren mit mindestens monatlichen Konsultationen und allenfalls eine psychopharmakologische Medikation nach Massgabe des Facharztes als sinnvoll und durchaus geeignet. Auf die entsprechenden Ausführungen des Verwaltungsgerichts kann verwiesen werden ( Art. 109 Abs. 3 BGG ). Der Beschwerdeführer vermag mit seinen Ausführungen die Rechtmässigkeit des angefochtenen Urteils nicht in Frage zu stellen. Die Beschwerde ist in diesem Punkt, soweit sie überhaupt den Begründungsanforderungen von Art. 42 Abs. 2 BGG zu genügen vermag, als offensichtlich unbegründet abzuweisen.</w:t>
      </w:r>
    </w:p>
    <w:p>
      <w:r>
        <w:rPr>
          <w:b/>
        </w:rPr>
        <w:t>E. 8</w:t>
      </w:r>
    </w:p>
    <w:p>
      <w:r>
        <w:t>Nach dem Gesagten ist die Beschwerde abzuweisen, soweit darauf einzutreten ist. Auf die Erhebung von Gerichtskosten kann verzichtet werden, weshalb das Gesuch um unentgeltliche Rechtspflege sich als gegenstandslos erweist. Mit dem Entscheid in der Sache selbst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