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1C_47/2018 vom 31. Januar 2018</w:t>
      </w:r>
    </w:p>
    <w:p>
      <w:r>
        <w:t>Bundesgericht, 2018-01-31, DE</w:t>
      </w:r>
    </w:p>
    <w:p>
      <w:r>
        <w:rPr>
          <w:b/>
        </w:rPr>
        <w:t xml:space="preserve">Quelle: </w:t>
      </w:r>
      <w:r>
        <w:t>https://mcp.opencaselaw.ch/entscheid/bger_1C_47_2018</w:t>
      </w:r>
    </w:p>
    <w:p>
      <w:r>
        <w:t>FR: TF 1C_47/2018 du 31 janvier 2018</w:t>
      </w:r>
    </w:p>
    <w:p>
      <w:r>
        <w:t>IT: TF 1C_47/2018 del 31 gennaio 2018</w:t>
      </w:r>
    </w:p>
    <w:p>
      <w:pPr>
        <w:pStyle w:val="Heading2"/>
      </w:pPr>
      <w:r>
        <w:t>Erwägungen</w:t>
      </w:r>
    </w:p>
    <w:p>
      <w:r>
        <w:rPr>
          <w:b/>
        </w:rPr>
        <w:t>E. 1</w:t>
      </w:r>
    </w:p>
    <w:p>
      <w:r>
        <w:t>A.________ erstattete am 14. Juli 2017 Strafanzeige gegen drei Mitarbeitende der KESB Rheintal wegen übler Nachrede, Verleumdung, Amtsmissbrauchs, Nötigung, Erpressung, Urkundenfälschung, Verletzung des Amtsgeheimnisses, Vorteilsgewährung, Vorteilsannahme sowie Unterdrückung von Urkunden. Hintergrund der Anzeige ist eine Sorgerechtsstreitigkeit zwischen dem Anzeiger und seiner ehemaligen Lebenspartnerin über den gemeinsamen Sohn, welcher sich in der Obhut der Kindsmutter befindet. Der Anzeiger möchte vor allem die gemeinsame elterliche Sorge sowie eine regelmässige Ausübung seines Besuchsrechts. Die Anklagekammer des Kantons St. Gallen erteilte mit Entscheid vom 15. November 2017 keine Ermächtigung zur Eröffnung von Strafverfahren. Zur Begründung führte die Anklagekammer zusammenfassend aus, es lägen keine hinreichend konkreten Anhaltspunkte vor, dass sich die Angezeigten in irgendeiner Weise strafbar verhalten haben könnten. Es sei nicht Aufgabe der Anklagekammer, irgendwelche Behördentätigkeiten auf ihre Rechtmässigkeit hin zu überprüfen. Dafür stünden dem Anzeiger die entsprechenden Rechtsbehelfe und Rechtsmittel zur Verfügung.</w:t>
      </w:r>
    </w:p>
    <w:p>
      <w:r>
        <w:rPr>
          <w:b/>
        </w:rPr>
        <w:t>E. 2</w:t>
      </w:r>
    </w:p>
    <w:p>
      <w:r>
        <w:t>A.________ erhob mit Eingabe vom 24. Januar 2018 Beschwerde in öffentlich-rechtlichen Angelegenheiten gegen den Entscheid der Anklagekammer des Kantons St. Gallen vom 15. November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Anklagekammer prüfte die diversen vom Beschwerdeführer angezeigten Straftatbestände und kam zum Schluss, dass sich aus den Akten keine hinreichenden Anhaltspunkte für ein strafbares Verhalten der Angezeigten ergeben würde. Der Beschwerdeführer vermag mit der Darstellung seiner eigenen Sicht der Dinge nicht im Einzelnen und konkret aufzuzeigen, inwiefern diese Einschätzung der Anklagekammer rechtswidrig sein sollte. Aus der Beschwerdebegründung ergibt sich nicht nachvollziehbar, inwiefern die Begründung der Anklagekammer, die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