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47/2014 vom 3. Februar 2014</w:t>
      </w:r>
    </w:p>
    <w:p>
      <w:r>
        <w:t>Bundesgericht, 2014-02-03, DE</w:t>
      </w:r>
    </w:p>
    <w:p>
      <w:r>
        <w:rPr>
          <w:b/>
        </w:rPr>
        <w:t xml:space="preserve">Quelle: </w:t>
      </w:r>
      <w:r>
        <w:t>https://mcp.opencaselaw.ch/entscheid/bger_1C_47_2014</w:t>
      </w:r>
    </w:p>
    <w:p>
      <w:r>
        <w:t>FR: TF 1C 47/2014 du 3 février 2014</w:t>
      </w:r>
    </w:p>
    <w:p>
      <w:r>
        <w:t>IT: TF 1C 47/2014 del 3 febbraio 2014</w:t>
      </w:r>
    </w:p>
    <w:p>
      <w:pPr>
        <w:pStyle w:val="Heading2"/>
      </w:pPr>
      <w:r>
        <w:t>Regeste</w:t>
      </w:r>
    </w:p>
    <w:p>
      <w:r>
        <w:t>Internationale Rechtshilfe in Strafsachen an Österreich; Herausgabe von Beweismitteln; Kontosperre | Rechtshilfe und Auslieferung</w:t>
      </w:r>
    </w:p>
    <w:p>
      <w:pPr>
        <w:pStyle w:val="Heading2"/>
      </w:pPr>
      <w:r>
        <w:t>Erwägungen</w:t>
      </w:r>
    </w:p>
    <w:p>
      <w:r>
        <w:rPr>
          <w:b/>
        </w:rPr>
        <w:t>E. 1</w:t>
      </w:r>
    </w:p>
    <w:p>
      <w:r>
        <w:t>Art. 17a IRSG enthält das Gebot der raschen Erledigung. Danach entscheidet die zuständige Behörde ohne Verzug (Abs. 1). Dies gilt auch für das Bundesgericht ( ROBERT ZIMMERMANN, La coopération judiciaire internationale en matière pénale, 3. Aufl. 2009, S. 237). Wie die folgenden Erwägungen zeigen, ist die vorliegende Sache spruchreif. Für eine Sistierung des bundesgerichtlichen Verfahrens besteht deshalb kein Anlass. Der entsprechende Antrag ist abzuweisen.</w:t>
      </w:r>
    </w:p>
    <w:p>
      <w:r>
        <w:rPr>
          <w:b/>
        </w:rPr>
        <w:t>E. 2.1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Beschlagnahme sowie eine Übermittlung von Informationen aus dem Geheimbereich und damit Sachgebiete, bei denen die Beschwerde nach Art. 84 Abs. 1 BGG insoweit möglich ist. Entgegen der Auffassung der Beschwerdeführerin handelt es sich jedoch um keinen besonders bedeutenden Fall. Die Vorinstanz hat sich mit den Vorbringen der Beschwerdeführerin einlässlich auseinandergesetzt. Die Erwägungen im angefochtenen Entscheid, auf welche verwiesen werden kann ( Art. 109 Abs. 3 BGG ), stützen sich auf die bundesgerichtliche Rechtsprechung und lassen keine Bundesrechtsverletzung erkennen. Dies gilt insbesondere, soweit die Vorinstanz eine Verletzung des Anspruchs der Beschwerdeführerin auf rechtliches Gehör verneint und die Rechtshilfe unter Zurückweisung des Einwands der unzulässigen Beweisausforschung ("fishing expedition") als verhältnismässig beurteilt hat (E. 5. und 7). Rechtsfragen von grundsätzlicher Bedeutung stellen sich nicht. Auch sonst wie kommt der Angelegenheit keine aussergewöhnliche Tragweite zu. Für das Bundesgericht besteht deshalb kein Anlass, die Sache an die Hand zu nehmen.</w:t>
      </w:r>
    </w:p>
    <w:p>
      <w:r>
        <w:rPr>
          <w:b/>
        </w:rPr>
        <w:t>E. 3</w:t>
      </w:r>
    </w:p>
    <w:p>
      <w:r>
        <w:t>Die Beschwerde ist danach unzulässig. 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