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1C_47/2010 vom 4. März 2010</w:t>
      </w:r>
    </w:p>
    <w:p>
      <w:r>
        <w:t>Bundesgericht, 2010-03-04, DE</w:t>
      </w:r>
    </w:p>
    <w:p>
      <w:r>
        <w:rPr>
          <w:b/>
        </w:rPr>
        <w:t xml:space="preserve">Quelle: </w:t>
      </w:r>
      <w:r>
        <w:t>https://mcp.opencaselaw.ch/entscheid/bger_1C_47_2010</w:t>
      </w:r>
    </w:p>
    <w:p>
      <w:r>
        <w:t>FR: TF 1C_47/2010 du 4 mars 2010</w:t>
      </w:r>
    </w:p>
    <w:p>
      <w:r>
        <w:t>IT: TF 1C_47/2010 del 4 marzo 2010</w:t>
      </w:r>
    </w:p>
    <w:p>
      <w:pPr>
        <w:pStyle w:val="Heading2"/>
      </w:pPr>
      <w:r>
        <w:t>Erwägungen</w:t>
      </w:r>
    </w:p>
    <w:p>
      <w:r>
        <w:rPr>
          <w:b/>
        </w:rPr>
        <w:t>E. 1</w:t>
      </w:r>
    </w:p>
    <w:p>
      <w:r>
        <w:t>Die Eingaben des Beschwerdeführers sind in französischer Sprache verfasst. Der angefochtene Entscheid erging jedoch in deutscher Sprache.</w:t>
      </w:r>
    </w:p>
    <w:p>
      <w:r>
        <w:t>Gemäss Art. 54 Abs. 1 Satz 1 BGG wird das Verfahren in einer der Amtssprachen geführt, in der Regel in der Sprache des angefochtenen Entscheids. Von dieser Regel abzuweichen besteht hier kein Grund. Das bundesgerichtliche Urteil wird deshalb in deutscher Sprache verfasst.</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Der Begriff des schweren Mangels des ausländischen Verfahrens ist restriktiv auszulegen ( BGE 133 IV 271 E. 2.2.2 S. 274, mit Hinweis).</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Entgegen der Auffassung des Beschwerdeführers handelt es sich jedoch um keinen besonders bedeutenden Fall.</w:t>
      </w:r>
    </w:p>
    <w:p>
      <w:r>
        <w:t>Was er (Beschwerde S. 5 ff.) vorbringt, ist nicht geeignet, einen solchen Fall darzutun.</w:t>
      </w:r>
    </w:p>
    <w:p>
      <w:r>
        <w:t>Die Vorinstanz hat die in Frage stehenden Bankunterlagen zu Recht als potentiell erheblich für das amerikanische Strafverfahren beurteilt (angefochtener Entscheid S. 12 f. E. 5). Damit sind die Voraussetzungen für ihre Herausgabe insoweit erfüllt ( BGE 122 II 367 E. 2c). Ernsthafte Anhaltspunkte dafür, dass es den amerikanischen Behörden in Wahrheit nicht um die Verfolgung einer gemeinrechtlichen Straftat, sondern von Steuerwiderhandlungen geht und das Rechtshilfeersuchen damit rechtsmissbräuchlich ist, legt der Beschwerdeführer nicht dar und sind nicht ersichtlich.</w:t>
      </w:r>
    </w:p>
    <w:p>
      <w:r>
        <w:t>Der vorliegende Fall hat sodann keine besondere aussenpolitische Bedeutung. Es geht um internationale Rechtshilfe in Strafsachen zur Verfolgung einer gemeinrechtlichen Straftat, nicht um Amtshilfe zur Verfolgung einer Steuerwiderhandlung. Der hier zu beurteilende Fall steht somit in keinem Zusammenhang mit der Problematik der Amtshilfe in Steuersachen, die derzeit zu Diskussionen Anlass gibt. Das Bundesamt legt das (Vernehmlassung S. 4) zutreffend dar.</w:t>
      </w:r>
    </w:p>
    <w:p>
      <w:r>
        <w:t>Die Vorinstanz hat sich mit den Einwänden des Beschwerdeführers auseinandergesetzt. Ihre Erwägungen, auf welche verwiesen werden kann, lassen keine Bundesrechtsverletzung erkennen. Für das Bundesgericht besteht deshalb kein Anlass, die Sache an die Hand zu nehmen.</w:t>
      </w:r>
    </w:p>
    <w:p>
      <w:r>
        <w:t>Auf die Beschwerde wird daher nicht eingetreten.</w:t>
      </w:r>
    </w:p>
    <w:p>
      <w:r>
        <w:rPr>
          <w:b/>
        </w:rPr>
        <w:t>E. 3</w:t>
      </w:r>
    </w:p>
    <w:p>
      <w:r>
        <w:t>Die Beschwerde hatte - wie der Beschwerdeführer (Beschwerde S. 3) selber darlegt - von Gesetzes wegen aufschiebende Wirkung ( Art. 103 Abs. 2 lit. c BGG ). Der entsprechende Antrag war somit nicht erforderlich und darüber musste nicht befunden werden.</w:t>
      </w:r>
    </w:p>
    <w:p>
      <w:r>
        <w:t>Der Beschwerdeführer trägt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