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478/2018 vom 30. November 2018</w:t>
      </w:r>
    </w:p>
    <w:p>
      <w:r>
        <w:t>Bundesgericht, 2018-11-30, DE</w:t>
      </w:r>
    </w:p>
    <w:p>
      <w:r>
        <w:rPr>
          <w:b/>
        </w:rPr>
        <w:t xml:space="preserve">Quelle: </w:t>
      </w:r>
      <w:r>
        <w:t>https://mcp.opencaselaw.ch/entscheid/bger_1C_478_2018</w:t>
      </w:r>
    </w:p>
    <w:p>
      <w:r>
        <w:t>FR: TF 1C 478/2018 du 30 novembre 2018</w:t>
      </w:r>
    </w:p>
    <w:p>
      <w:r>
        <w:t>IT: TF 1C 478/2018 del 30 novembre 2018</w:t>
      </w:r>
    </w:p>
    <w:p>
      <w:pPr>
        <w:pStyle w:val="Heading2"/>
      </w:pPr>
      <w:r>
        <w:t>Regeste</w:t>
      </w:r>
    </w:p>
    <w:p>
      <w:r>
        <w:t>Sperrung und Rückerstattung unrechtmässig erworbener Vermögenswerte ausländischer politisch exponierter Personen | Verwaltungsverfahren</w:t>
      </w:r>
    </w:p>
    <w:p>
      <w:pPr>
        <w:pStyle w:val="Heading2"/>
      </w:pPr>
      <w:r>
        <w:t>Erwägungen</w:t>
      </w:r>
    </w:p>
    <w:p>
      <w:r>
        <w:rPr>
          <w:b/>
        </w:rPr>
        <w:t>E. 1</w:t>
      </w:r>
    </w:p>
    <w:p>
      <w:r>
        <w:t>Die Beschwerde richtet sich gegen einen Entscheid in öffentlich-rechtlichen Angelegenheiten des Bundesverwaltungsgerichts ( Art. 82 lit. a, Art. 86 Abs. 1 lit. a BGG ). Die Beschwerdeführerin hat am vorinstanzlichen Verfahren teilgenommen, ist als Inhaberin des von der Rückzahlung betroffenen Kontos besonders berührt und hat ein schutzwürdiges Interesse an der Aufhebung oder Änderung des angefochtenen Entscheids ( Art. 89 Abs. 1 BGG ). Auch die weiteren Sachurteilsvoraussetzungen sind erfüllt. Auf die Beschwerde ist unter dem Vorbehalt der nachfolgenden Erwägungen einzutreten.</w:t>
      </w:r>
    </w:p>
    <w:p>
      <w:r>
        <w:rPr>
          <w:b/>
        </w:rPr>
        <w:t>E. 2</w:t>
      </w:r>
    </w:p>
    <w:p>
      <w:r>
        <w:t>Die DV hat den Antrag der Beschwerdeführerin, die Bank C.________ anzuweisen, die Rücküberweisung nicht vorzunehmen, als unzulässig bezeichnet, weil sie keine Entscheidbefugnis besitze. Sinngemäss ist sie damit auf den Antrag mangels Zuständigkeit nicht eingetreten. Das Bundesverwaltungsgericht hat diese Verfügung geschützt. Im vorliegenden Verfahren, dessen Gegenstand ebenfalls auf die Zuständigkeitsfrage beschränkt ist, ist zu untersuchen, ob das Bundesverwaltungsgericht dadurch Bundesrecht verletzt hat. Nicht einzutreten ist auf die Beschwerde insoweit, als sie sich gegen die Verfügung der DV richtet. Diese ist im Rahmen des Streitgegenstands durch das Urteil des Bundesverwaltungsgerichts ersetzt worden (Devolutiveffekt) und gilt als inhaltlich mitangefochten ( BGE 134 II 142 E. 1.4 S. 144 mit Hinweis). Auch soweit die Beschwerdeführerin die angeblich widerrechtliche Auskunft der DV vom 28. November 2017 kritisiert, sich hinsichtlich des Rücktransfers auf das Willkürverbot ( Art. 9 BV ), die Eigentumsgarantie ( Art. 26 BV ) und die Vertragsfreiheit ( Art. 27 BV ) beruft, geht sie über den Verfahrensgegenstand (die Frage der Zuständigkeit der DV) hinaus und legt nicht dar, inwiefern der angefochtene Entscheid Recht verletzt ( Art. 42 Abs. 2 BGG ). Darauf ist ebenfalls nicht einzutreten.</w:t>
      </w:r>
    </w:p>
    <w:p>
      <w:r>
        <w:rPr>
          <w:b/>
        </w:rPr>
        <w:t>E. 3.1</w:t>
      </w:r>
    </w:p>
    <w:p>
      <w:r>
        <w:t>Die Beschwerdeführerin ist der Auffassung, für die Rücküberweisung der vom Konto 1 auf das Konto 3 transferierten Summe von Fr. 6'778'534.-- bedürfe es neben der Zustimmung des BJ auch derjenigen der DV. Art. 8 Abs. 5 des Bundesgesetzes vom 18. Dezember 2015 über die Sperrung und die Rückerstattung unrechtmässig erworbener Vermögenswerte ausländischer politisch exponierter Personen (SRVG; SR 196.1) sei auf eine "aussergewöhnliche" Verwaltungshandlung, wie sie vorliegend zur Diskussion stehe, nicht anwendbar. Das entspreche der in BGE 141 I 20 geäusserten Auffassung des Bundesgerichts, wonach die Rechtshilfebehörde keinen Vorrang habe, sondern vielmehr von der Parallelität der beiden Verfahren auszugehen sei. Wenn Geld vom rechtshilfeweise, verwaltungsrechtlich und strafrechtlich gesperrten Konto 3 auf das lediglich rechtshilfeweise gesperrte Konto 1 transferiert werden solle, stelle das eine Freigabe gemäss Art. 9 SRVG dar, die der Bewilligung des EDA bedürfe. Schliesslich seien auch die Ausführungen des Bundesverwaltungsgerichts zu Art. 25a VwVG unzutreffend.</w:t>
      </w:r>
    </w:p>
    <w:p>
      <w:r>
        <w:rPr>
          <w:b/>
        </w:rPr>
        <w:t>E. 3.2</w:t>
      </w:r>
    </w:p>
    <w:p>
      <w:r>
        <w:t>Die vom Bundesrat gestützt auf 184 Abs. 3 BV erlassene aUkraine-Verordnung wurde am 1. Juli 2016 durch das SRVG und die Verordnung vom 25. Mai 2016 über die Sperrung von Vermögenswerten im Zusammenhang mit der Ukraine (Ukraine-Verordnung; SR 196.127.67) ersetzt. Vermögenswerte, die beim Inkrafttreten des SRVG gestützt auf Art. 184 Abs. 3 BV bereits gesperrt waren, blieben gemäss Art. 32 Abs. 1 SRVG gesperrt.</w:t>
      </w:r>
    </w:p>
    <w:p>
      <w:r>
        <w:rPr>
          <w:b/>
        </w:rPr>
        <w:t>E. 3.3.1</w:t>
      </w:r>
    </w:p>
    <w:p>
      <w:r>
        <w:t>Die auf Art. 3 SRVG gestützte Sperrung von Vermögenswerten in der Schweiz soll den ausländischen Behörden Zeit geben, um ein Strafverfahren einzuleiten und ein Rechtshilfegesuch zu stellen (vgl. BGE 141 I 20 E. 6.1.1 S. 30). Die (verwaltungsrechtliche) Sperrung stellt somit eine vorsorgliche Massnahme dar, welche die Aufnahme von Rechtshilfebeziehungen zwischen der Schweiz und dem Herkunftsstaat erleichtern soll (Botschaft vom 21. Mai 2014 zum Bundesgesetz über die Sperrung und die Rückerstattung unrechtmässig erworbener Vermögenswerte ausländischer politisch exponierter Personen, BBl 2014 5297 Ziff. 2.3.2).</w:t>
      </w:r>
    </w:p>
    <w:p>
      <w:r>
        <w:rPr>
          <w:b/>
        </w:rPr>
        <w:t>E. 3.3.2</w:t>
      </w:r>
    </w:p>
    <w:p>
      <w:r>
        <w:t>Art. 8 SRVG regelt die Verwaltung gesperrter Vermögenswerte und grenzt in dieser Hinsicht die Verantwortung der implizierten Akteure voneinander ab (BBl 2014 5313 Ziff. 2.3.2). Abs. 5 dieser Bestimmung verankert den Grundsatz des Vorrangs eines parallel laufenden Rechtshilfe- oder Strafverfahrens: Sind die Vermögenswerte auch im Rahmen eines Straf- oder Rechtshilfeverfahrens gesperrt, so obliegt ihre Verwaltung ausschliesslich der Behörde, die jenes Verfahren leitet. Diese informiert das EDA, bevor sie die Aufhebung der Sperrung der Vermögenswerte anordnet.</w:t>
      </w:r>
    </w:p>
    <w:p>
      <w:r>
        <w:rPr>
          <w:b/>
        </w:rPr>
        <w:t>E. 3.3.3</w:t>
      </w:r>
    </w:p>
    <w:p>
      <w:r>
        <w:t>Die Beschwerdeführerin geht mit ihrem Argument, die Parallelität der verschiedenen Verfahren bedeute, dass im vorliegenden Fall die Zustimmung des EDA erforderlich sei, fehl. Gerade weil neben der administrativen Sperrung auch eine rechtshilferechtliche oder strafprozessuale möglich ist (vgl. dazu wiederum BGE 141 I 20 E. 6.1.1 S. 30), ist eine Abgrenzung der Zuständigkeiten bezüglich der Verwaltung gesperrter Vermögenswerte erforderlich. Diese erfolgt gemäss Art. 8 Abs. 5 SRVG nach dem Prinzip der subsidiären Zuständigkeit des EDA. Dies entspricht dem erwähnten allgemeineren Gesetzeszweck, durch die administrative Sperrung von Vermögenswerten eine allfällige Rechtshilfezusammenarbeit zu ermöglichen, und ist Ausdruck des Vorrangs der Rechtshilfe. Unberührt davon bleibt die Befugnis des EDA, gestützt auf Art. 9 SRVG ausnahmsweise die Freigabe einzelner gesperrter Vermögenswerte zu bewilligen, insbesondere in Härtefällen oder Fällen, in denen die Wahrung wichtiger Schweizer Interessen dies erfordert (BBl 2014 5313 Ziff. 2.3.2). Wie die DV zu Recht vorbringt, steht vorliegend allerdings keine derartige Freigabe zur Diskussion.</w:t>
      </w:r>
    </w:p>
    <w:p>
      <w:r>
        <w:rPr>
          <w:b/>
        </w:rPr>
        <w:t>E. 3.3.4</w:t>
      </w:r>
    </w:p>
    <w:p>
      <w:r>
        <w:t>Aus dem Ausgeführten geht hervor, dass das Bundesrecht keine Zuständigkeit der DV bzw. des EDA vorsieht, die vom BJ angeordnete Rücküberweisung der erwähnten Summe zu genehmigen. Ob es sich dabei um eine Verwaltungsmassnahme im Sinne von Art. 8 SRVG handelt, kann vorliegend offenbleiben. Die Verfügung des BJ vom 7. Juli 2016 ist, da sie von der Beschwerdeführerin nicht angefochten wurde, in Rechtskraft erwachsen. Dass sie nichtig sein könnte, wie die Beschwerdeführerin beiläufig andeutet, jedoch nicht konkret begründet ( Art. 42 Abs. 2 BGG ), ist nicht ersichtlich.</w:t>
      </w:r>
    </w:p>
    <w:p>
      <w:r>
        <w:rPr>
          <w:b/>
        </w:rPr>
        <w:t>E. 4</w:t>
      </w:r>
    </w:p>
    <w:p>
      <w:r>
        <w:t>Die Beschwerde ist aus den genannten Gründen abzuweisen, soweit darauf einzutreten ist. Damit wird der Antrag der Beschwerdeführerin auf vorsorgliche Massnahmen gegenstandslos. 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