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478/2013 vom 22. Oktober 2013</w:t>
      </w:r>
    </w:p>
    <w:p>
      <w:r>
        <w:t>Bundesgericht, 2013-10-22, FR</w:t>
      </w:r>
    </w:p>
    <w:p>
      <w:r>
        <w:rPr>
          <w:b/>
        </w:rPr>
        <w:t xml:space="preserve">Quelle: </w:t>
      </w:r>
      <w:r>
        <w:t>https://mcp.opencaselaw.ch/entscheid/bger_1C_478_2013</w:t>
      </w:r>
    </w:p>
    <w:p>
      <w:r>
        <w:t>FR: TF 1C 478/2013 du 22 octobre 2013</w:t>
      </w:r>
    </w:p>
    <w:p>
      <w:r>
        <w:t>IT: TF 1C 478/2013 del 22 ottobre 2013</w:t>
      </w:r>
    </w:p>
    <w:p>
      <w:pPr>
        <w:pStyle w:val="Heading2"/>
      </w:pPr>
      <w:r>
        <w:t>Regeste</w:t>
      </w:r>
    </w:p>
    <w:p>
      <w:r>
        <w:t>résidences secondaires, art. 75b Cst. | Aménagement du territoire et droit public des constructions</w:t>
      </w:r>
    </w:p>
    <w:p>
      <w:pPr>
        <w:pStyle w:val="Heading2"/>
      </w:pPr>
      <w:r>
        <w:t>Erwägungen</w:t>
      </w:r>
    </w:p>
    <w:p>
      <w:r>
        <w:rPr>
          <w:b/>
        </w:rPr>
        <w:t>E. 1</w:t>
      </w:r>
    </w:p>
    <w:p>
      <w:r>
        <w:t>Les deux recours ont trait au même projet de construction. Les mêmes griefs ont été soulevés contre les décisions communales puis contre les arrêts cantonaux. Il se justifie dès lors de joindre les causes 1C_478/2012 et 1C_499/2012, pour des motifs d'économie de procédure, et de statuer à leur sujet dans un seul arrêt (cf. art. 24 PCF applicable par analogie vu le renvoi de l' art. 71 LTF ).</w:t>
      </w:r>
    </w:p>
    <w:p>
      <w:r>
        <w:rPr>
          <w:b/>
        </w:rPr>
        <w:t>E. 2.1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2.2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3</w:t>
      </w:r>
    </w:p>
    <w:p>
      <w:r>
        <w:t>Sur le vu de ces arrêts, il y a lieu d'admettre à tout le moins la qualité d'Helvetia Nostra pour s'opposer au projet litigieux. La qualité pour agir des autres opposants peut, en l'état, demeurer indécise. La cour cantonale a laissé indécise la question de l'affectation de la construction litigieuse, en résidence principale ou secondaire. Or la nature du projet de construction n'est pas clairement définie. Dans ses dernières écritures, l'intimée prétend vouloir affecter les constructions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4</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des décisions levant les oppositions des recourants. En l'occurrence, la question de la conformité de l'autorisation de construire à l' art. 75b Cst. n'a pas été examinée lors du rejet des oppositions par la commune. La constructrice devra donc, si elle maintient sa demande de permis de construire, apporter les éclaircissements nécessaires sur ces points. Il y a ainsi lieu d'annuler les décisions levant les oppositions au permis de construire (dont l'admissibilité n'est en l'état pas démontrée) et de renvoyer la cause à l'autorité communale pour nouvelles décisions.</w:t>
      </w:r>
    </w:p>
    <w:p>
      <w:r>
        <w:rPr>
          <w:b/>
        </w:rPr>
        <w:t>E. 5</w:t>
      </w:r>
    </w:p>
    <w:p>
      <w:r>
        <w:t>Compte tenu de l'issue de la cause, les frais judiciaires et les dépens sont mis à la charge de l'intimée qui, à ce stade, succombe (art. 66 al. 1 et 68 al. 1 LTF). Il y a lieu également, conformément aux art. 67 et 68 al. 5 LTF , de fixer les frais et dépens pour la procédure devant le Tribunal cantonal. La constructrice n'a certes pas eu l'occasion de procéder devant cette instance mais, compte tenu de ce qui précède, la cour cantonale aurait dû statuer en sa défaveur, ce qui justifie la mise à sa charge des frais de justice, ainsi que des dépens en faveur de la recourante. Il ne se justifie en revanche pas de lui imputer les frais de deux procédures cantonales, qui, par économie de procédure, auraient dû faire l'objet d'une jonction de cause. Au vu du grand nombre de recours similaires déposés par l'association recourante à laquelle se sont joints les propriétaires voisins pour agir, il convient de réduire les dépens et de les fixer à 2'500 fr. pour l'ensemble des procédures fédérales et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