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1C_476/2022 vom 14. September 2022</w:t>
      </w:r>
    </w:p>
    <w:p>
      <w:r>
        <w:t>Bundesgericht, 2022-09-14, DE</w:t>
      </w:r>
    </w:p>
    <w:p>
      <w:r>
        <w:rPr>
          <w:b/>
        </w:rPr>
        <w:t xml:space="preserve">Quelle: </w:t>
      </w:r>
      <w:r>
        <w:t>https://mcp.opencaselaw.ch/entscheid/bger_1C_476_2022</w:t>
      </w:r>
    </w:p>
    <w:p>
      <w:r>
        <w:t>FR: TF 1C_476/2022 du 14 septembre 2022</w:t>
      </w:r>
    </w:p>
    <w:p>
      <w:r>
        <w:t>IT: TF 1C_476/2022 del 14 settembre 2022</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ist der Ansicht, dass das in der Slowakei abgeschlossene Strafverfahren an schweren Mängeln leide, da seine Verurteilung im Berufungsverfahren in Abwesenheit stattgefunden habe und eine rechtsgenügliche Vorladung zur Verhandlung nicht nachgewiesen sei. Das Bundesstrafgericht hält dazu fest, der Beschwerdeführer habe sich gemäss dem Urteil des slowakischen Berufungsgerichts dem hängigen Berufungsverfahren entzogen. Er sei nicht mehr an der von ihm angegebenen Zustelladresse erreichbar gewesen, obwohl ihm die Pflicht, dem Berufungsgericht Adressänderungen mitzuteilen, bekannt gewesen sei. Diese Darstellung bestreitet der Beschwerdeführer nicht. Angesichts seines weisungswidrigen Verhaltens hatte er es sich selbst zuzuschreiben, dass das Berufungsurteil in seiner Abwesenheit erging (vgl. Urteil des EGMR</w:t>
      </w:r>
    </w:p>
    <w:p>
      <w:r>
        <w:t>Demebukov gegen Bulgarien vom 28. Februar 2008, Beschwerde-Nr. 68020/01, Ziff. 57 f.). Zudem blieb gemäss den vorinstanzlichen Ausführungen sein Recht auf wirksame Verteidigung gewahrt (vgl. Urteil des EGMR</w:t>
      </w:r>
    </w:p>
    <w:p>
      <w:r>
        <w:t>Sejdovic gegen Italien vom 1. März 2006, Beschwerde-Nr. 56581/00, Ziff. 91).</w:t>
      </w:r>
    </w:p>
    <w:p>
      <w:r>
        <w:t>Hinsichtlich der vom Beschwerdeführer erstmals im Verfahren vor Bundesstrafgericht gerügten Haftbedingungen in der Slowakei kann auf die betreffenden Erwägungen im angefochtenen Entscheid verwiesen werden, mit denen sich der Beschwerdeführer inhaltlich nicht substanziiert auseinandersetzt ( Art. 42 Abs. 2 und Art. 109 Abs. 3 BGG ).</w:t>
      </w:r>
    </w:p>
    <w:p>
      <w:r>
        <w:t>Ein besonders bedeutender Fall liegt somit nicht vor.</w:t>
      </w:r>
    </w:p>
    <w:p>
      <w:r>
        <w:rPr>
          <w:b/>
        </w:rPr>
        <w:t>E. 2</w:t>
      </w:r>
    </w:p>
    <w:p>
      <w:r>
        <w:t>Auf die Beschwerde ist deshalb nicht einzutreten. Damit wird das Gesuch um aufschiebende Wirkung gegenstandslos. Der Beschwerde kommt im vorliegenden Fall ohnehin schon von Gesetzes wegen aufschiebende Wirkung zu ( Art. 103 Abs. 2 lit. c BGG ).</w:t>
      </w:r>
    </w:p>
    <w:p>
      <w:r>
        <w:t>Bei diesem Ausgang des Verfahrens trägt der Beschwerdeführer die Gerichtskosten ( Art. 66 Abs. 1 BGG ). Zwar beantragt er, er sei von deren Bezahlung zu befreien ( Art. 64 Abs. 1 BGG ). Er legt jedoch seine finanziellen Verhältnisse nicht offen, weshalb das Gesuch abzuweisen ist (vgl. Urteile 2C_297/2020 vom 8. Mai 2020 E. 3; 1B_389/2015 vom 7. Januar 2016 E. 5.4;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