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1C_476/2015 vom 3. August 2016</w:t>
      </w:r>
    </w:p>
    <w:p>
      <w:r>
        <w:t>Bundesgericht, 2016-08-03, FR</w:t>
      </w:r>
    </w:p>
    <w:p>
      <w:r>
        <w:rPr>
          <w:b/>
        </w:rPr>
        <w:t xml:space="preserve">Quelle: </w:t>
      </w:r>
      <w:r>
        <w:t>https://mcp.opencaselaw.ch/entscheid/bger_1C_476_2015</w:t>
      </w:r>
    </w:p>
    <w:p>
      <w:r>
        <w:t>FR: TF 1C_476/2015 du 3 août 2016</w:t>
      </w:r>
    </w:p>
    <w:p>
      <w:r>
        <w:t>IT: TF 1C_476/2015 del 3 agosto 2016</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w:t>
      </w:r>
    </w:p>
    <w:p>
      <w:r>
        <w:rPr>
          <w:b/>
        </w:rPr>
        <w:t>E. 1.2</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Selon la jurisprudence, le voisin a qualité pour agir lorsque son terrain jouxte celui du constructeur ou se trouve à proximité immédiate de celui-ci ( ATF 121 II 171 consid. 2b p. 174; 115 Ib 508 consid. 5c p. 511). Tel est le cas des recourants propriétaires des parcelles contiguës ou situées à proximité immédiate du projet litigieux qu'ils tiennent entre autres pour non conforme à la législation cantonale en matière d'indice d'utilisation du sol. Ayant par ailleurs pris part à la procédure devant la cour cantonale, les recourants précités ont qualité pour recourir au sens de l' art. 89 al. 1 LTF .</w:t>
      </w:r>
    </w:p>
    <w:p>
      <w:r>
        <w:rPr>
          <w:b/>
        </w:rPr>
        <w:t>E. 1.3</w:t>
      </w:r>
    </w:p>
    <w:p>
      <w:r>
        <w:t>Les autres conditions de recevabilité sont par ailleurs réunies, si bien qu'il y a lieu d'entrer en matière.</w:t>
      </w:r>
    </w:p>
    <w:p>
      <w:r>
        <w:rPr>
          <w:b/>
        </w:rPr>
        <w:t>E. 1.4</w:t>
      </w:r>
    </w:p>
    <w:p>
      <w:r>
        <w:t>Au stade de la réplique, les recourants se plaignent du manque d'indépendance des membres de la CA. Dans la mesure où ce grief aurait déjà pu figurer dans l'acte de recours, il est irrecevable (cf. ATF 132 I 42 consid. 3.3.4 p. 47 et les réf. cit.). En outre, ce grief est fondé sur des éléments de fait qui n'ont pas été constatés dans l'arrêt entrepris (cf. art. 99 LTF ).</w:t>
      </w:r>
    </w:p>
    <w:p>
      <w:r>
        <w:rPr>
          <w:b/>
        </w:rPr>
        <w:t>E. 2</w:t>
      </w:r>
    </w:p>
    <w:p>
      <w:r>
        <w:t>Dans un grief d'ordre formel qu'il convient d'examiner en premier lieu, les recourants voient une violation de leur droit d'être entendus dans le refus de la Cour de justice de donner suite à leurs requêtes d'inspection locale et d'audition des parties, notamment de la Commune et de l'architecte J.________.</w:t>
      </w:r>
    </w:p>
    <w:p>
      <w:r>
        <w:rPr>
          <w:b/>
        </w:rPr>
        <w:t>E. 2.1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 Dans ce contexte, le recourant est soumis aux exigences accrues de motivation de l' art. 106 al. 2 LTF .</w:t>
      </w:r>
    </w:p>
    <w:p>
      <w:r>
        <w:rPr>
          <w:b/>
        </w:rPr>
        <w:t>E. 2.2</w:t>
      </w:r>
    </w:p>
    <w:p>
      <w:r>
        <w:t>En l'espèce, la Cour de justice a rejeté la proposition d'inspecter les lieux au motif que les pièces figurant au dossier étaient suffisantes pour trancher le litige, sans qu'il soit nécessaire de procéder aux mesures d'instruction demandées. Elle relevait en particulier que, en augmentant les IUS dérogatoires susceptibles d'être appliqués dans la zone villa, le législateur cantonal avait souhaité encourager la réalisation de ces nouvelles formes d'habitat (habitat groupé ou en ordre contigu). Ainsi, seules des caractéristiques heurtant manifestement le caractère du quartier, son harmonie et son aménagement (dimensionnement, esthétique, etc) pouvaient justifier l'annulation d'une autorisation délivrée par le DALE pour non-respect de ces conditions. De telles caractéristiques, repérables dans le cadre d'une analyse détaillée des plans, n'étaient pas présentes en l'espèce. En outre, s'agissant de l'audition des parties et de l'architecte, l'instance précédente relevait que le droit d'être entendu ne conférait pas le droit à une audition orale, la procédure administrative étant en principe écrite (art. 18 de la loi cantonale sur la procédure administrative [LPA, RSG E 5 10]).</w:t>
      </w:r>
    </w:p>
    <w:p>
      <w:r>
        <w:t>A l'appui de leur grief, les recourants soutiennent que le DALE et la CA ne pouvaient pas examiner la compatibilité d'un projet de construction avec le caractère, l'harmonie et l'aménagement du quartier, sans procéder à une analyse in concreto de celui-ci. Ils affirment que le projet autorisé serait clairement incompatible avec le caractère, l'harmonie et l'aménagement du quartier. Ce faisant, les recourants ne démontrent pas que les motifs avancés par l'instance précédente pour rejeter leurs requêtes d'inspection locale et d'audition seraient arbitraires. En particulier, ils n'exposent pas en quoi les pièces figurant au dossier seraient insuffisantes. Ils n'expliquent en outre pas clairement en quoi le projet serait incompatible avec le caractère, l'harmonie et l'aménagement du quartier, se contentant d'affirmer - sans autre motivation - que le projet empiéterait sur une zone de sauvegarde qualifiée de "milieu naturel bien conservé" selon le PDCom. Quant aux auditions de la Commune et de l'architecte, les recourants ne démontrent pas non plus pourquoi elles seraient indispensables; sur ce point, il sied d'ailleurs de relever que l' art. 29 al. 2 Cst. ne confère pas de droit à une audition orale.</w:t>
      </w:r>
    </w:p>
    <w:p>
      <w:r>
        <w:rPr>
          <w:b/>
        </w:rPr>
        <w:t>E. 2.3</w:t>
      </w:r>
    </w:p>
    <w:p>
      <w:r>
        <w:t>En définitive, la critique des recourants, purement appellatoire, ne satisfait pas aux exigences accrues de motivation de l' art. 106 al. 2 LTF et est, par conséquent, irrecevable.</w:t>
      </w:r>
    </w:p>
    <w:p>
      <w:r>
        <w:rPr>
          <w:b/>
        </w:rPr>
        <w:t>E. 3</w:t>
      </w:r>
    </w:p>
    <w:p>
      <w:r>
        <w:t>Les recourants se plaignent ensuite d'un déni de justice formel au sens de l' art. 29 al. 2 Cst. Ils reprochent en substance à l'instance précédente d'avoir refusé de statuer sur leur grief d'application arbitraire de l'art. 59 al. 9 et 10 LCI - relatif à l'indice d'utilisation des parcelles en sous-sol - au motif qu'ils ne disposaient d'aucun intérêt pratique à l'admission de celui-ci. Les intéressés ne contestent pas que l'examen de ce grief puisse être subordonné à l'existence d'un intérêt actuel à l'admission de celui-ci.</w:t>
      </w:r>
    </w:p>
    <w:p>
      <w:r>
        <w:rPr>
          <w:b/>
        </w:rPr>
        <w:t>E. 3.1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138 II 162 consid. 2.1.1 p.164). En l'occurrence, les recourants ne prétendent pas que le droit cantonal définissant la qualité pour recourir serait plus large que le droit fédéral sur ce point. Il convient donc d'examiner la qualité pour recourir sous l'angle de l' art. 89 al. 1 LTF . S'agissant de droit fédéral, le Tribunal fédéral examine cette question librement.</w:t>
      </w:r>
    </w:p>
    <w:p>
      <w:r>
        <w:t>Pour satisfaire aux critères de l' art. 89 al. 1 LTF ,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 ATF 139 II 499 consid. 2.2 p. 504; 137 II 30 consid. 2.2.3 p. 33; 133 II 249 consid. 1.3 p. 252). A défaut, il n'y a pas lieu d'entrer en matière sur le grief soulevé (cf. arrêt 1C_517/2013 du 5 novembre 2013 consid. 5.2).</w:t>
      </w:r>
    </w:p>
    <w:p>
      <w:r>
        <w:t>Ainsi, la jurisprudence a considéré que des voisins, situés à environ 100 mètres de la construction projetée, ne sont pas particulièrement atteints par ce projet s'ils ne voient pas depuis leur propriété la toiture qu'ils critiquent (arrêt 1C_338/2011 du 30 janvier 2012 consid. 3, publié in SJ 2012 I 422).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 1C_565/2012 du 23 janvier 2013 consid. 2.2 et 2.3, publié in SJ 2013 I 526).</w:t>
      </w:r>
    </w:p>
    <w:p>
      <w:r>
        <w:rPr>
          <w:b/>
        </w:rPr>
        <w:t>E. 3.2</w:t>
      </w:r>
    </w:p>
    <w:p>
      <w:r>
        <w:t>L'art. 59 al. 9 LCI règle la question de la surface du sous-sol - y compris celle du sous-sol des constructions de peu d'importance -, laquelle ne peut excéder le 20% de la surface de la parcelle; selon une modification entrée en vigueur le 21 mars 2015, cette surface peut être portée à 22% lorsque la construction est conforme à un standard de haute performance énergétique, respectivement à 24% lorsque la construction est conforme à un standard de très haute performance énergétique, reconnue comme telle par le service compétent.</w:t>
      </w:r>
    </w:p>
    <w:p>
      <w:r>
        <w:t>Selon l'art. 59 al. 10 LCI, le département peut, toutefois, admettre une surface de sous-sol non comprise dans le calcul du rapport des surfaces, tel que défini aux alinéas 8 et 9 de cet article, si la construction de garages au sous-sol permet de renoncer à l'édification de constructions de peu d'importance à destination de garages en surface.</w:t>
      </w:r>
    </w:p>
    <w:p>
      <w:r>
        <w:rPr>
          <w:b/>
        </w:rPr>
        <w:t>E. 3.3</w:t>
      </w:r>
    </w:p>
    <w:p>
      <w:r>
        <w:t>La cour cantonale a écarté le grief tiré de la violation de l'art. 59 al. 9 et 10 LCI invoqué par les recourants, en se fondant sur l'arrêt 1C_565/2012 du Tribunal fédéral. Dans cet arrêt, ledit Tribunal a estimé que le recourant n'avait pas démontré sa qualité pour recourir en lien avec le grief de violation de l'art. 59 al. 9 LCI car in casu la modification de la surface du sous-sol n'était pas de nature à entraîner une modification du projet en surface (art. 59 al. 1 et 4 let. a LCI); le recourant n'avait en outre pas allégué que l'utilisation souterraine des parcelles des intimés, en tant qu'elle dépasse le 20% inscrit dans la loi genevoise, serait à l'origine d'immissions l'atteignant spécialement. En l'occurrence, l'instance précédente a retenu que, comme dans l'arrêt précité, les recourants n'avaient pas d'intérêt pratique à l'admission de ce moyen puisque la violation de ces dispositions relatives à l'indice d'utilisation des parcelles en sous-sol n'entraînait pas de modification de l'impact visuel de la construction litigieuse en surface.</w:t>
      </w:r>
    </w:p>
    <w:p>
      <w:r>
        <w:t>Les recourants critiquent cette appréciation. Ils affirment qu'ils disposent d'un intérêt pratique à l'admission de ce grief dans la mesure où la correcte application de l'art. 59 al. 9 et 10 LCI engendrerait une modification certaine de la construction en surface. Ils font en effet valoir que la surface du parking souterrain prévu est de 502.64 m</w:t>
      </w:r>
    </w:p>
    <w:p>
      <w:r>
        <w:t>2 alors que, selon l'art. 59 al. 9 LCI, la surface en sous-sol ne devrait pas dépasser 402.60 m</w:t>
      </w:r>
    </w:p>
    <w:p>
      <w:r>
        <w:t>2 (20% de 2'013 m</w:t>
      </w:r>
    </w:p>
    <w:p>
      <w:r>
        <w:t>2 ). Ils estiment donc que le projet - nécessitant 18 places de parking - devrait prévoir la création de garages en surface d'environ 100 m</w:t>
      </w:r>
    </w:p>
    <w:p>
      <w:r>
        <w:t>2 ; or, dans la mesure où, selon eux, la réalisation de constructions de peu d'importance à destination de garage n'était pas possible in casu d'un point de vue légal et technique, la taille du projet de construction - y compris hors sol - devait être réduite. Enfin, ils évoquent également brièvement une incidence sur le trafic du quartier.</w:t>
      </w:r>
    </w:p>
    <w:p>
      <w:r>
        <w:t>Tout comme dans l'arrêt précité, les recourants échouent à démontrer un intérêt spécial à l'admission de leur grief. Contrairement à ce qu'ils soutiennent, la modification de la surface en sous-sol destinée à la création de places de parking n'apparaît pas de nature à entraîner une modification du projet en surface; ils perdent en particulier de vue que l'art. 59 al. 10 LCI - dont l'application a été examinée par le TAPI - autorise expressément un indice plus élevé si les surfaces excédant l'indice de 0.2 sont destinées à la construction de garages au sous-sol qui permettent de renoncer à l'édification de constructions de peu d'importance à destination de garages en surface. Sur ce point, le TAPI a d'ailleurs constaté - pour répondre à la critique formulée par les recourants - qu'il aurait été loisible à l'intimé, tant sur le plan légal (cf. art. 3 al. 3 RCI [cf. décision du TAPI c onsid. 6]) que sur le plan technique, de construire en surface, en plus des bâtiments principaux dont la surface brute de plancher occupe déjà 47.7 % de la parcelle, des garages pour un total de 100 m</w:t>
      </w:r>
    </w:p>
    <w:p>
      <w:r>
        <w:t>2 qui ne dépasse pas 8% de la surface des deux parcelles. Sur ce point, les recourants se contentent d'affirmer l'inverse sans aucune démonstration. A cet égard, le simple renvoi à l'avis non motivé d'un architecte ne répond pas aux exigences de motivation d'un recours devant le Tribunal fédéral.</w:t>
      </w:r>
    </w:p>
    <w:p>
      <w:r>
        <w:t>Enfin, ils se plaignent du trafic supplémentaire uniquement en tant que la route d'accès ne serait pas assez large. Ils n'invoquent cependant pas le grief tiré de l'insuffisance de la voie d'accès, grief qui a été examiné et rejeté par l'instance précédente (cf. arrêt entrepris consid. 12). De plus, ils ne démontrent pas l'existence de nuisances supplémentaires pour eux par rapport à celles occasionnées par un projet redimensionné. Ils ne sauraient dès lors se prévaloir d'un intérêt spécial sur ce point.</w:t>
      </w:r>
    </w:p>
    <w:p>
      <w:r>
        <w:rPr>
          <w:b/>
        </w:rPr>
        <w:t>E. 4</w:t>
      </w:r>
    </w:p>
    <w:p>
      <w:r>
        <w:t>Les recourants invoquent également une violation des principes de l'égalité de traitement et de l'autonomie communale ( art. 50 al. 1 Cst. ), ainsi qu'une application arbitraire du droit cantonal, en particulier des art. 59 al. 4 let. a LCI et 10 al. 1 et 8 de la loi cantonale genevoise d'application de la loi fédérale sur l'aménagement du territoire du 4 juin 1987 (LaLAT; RSG L 1 30).</w:t>
      </w:r>
    </w:p>
    <w:p>
      <w:r>
        <w:rPr>
          <w:b/>
        </w:rPr>
        <w:t>E. 4.1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305 consid. 4.3 p. 319; 132 I 13 consid. 5.1 p. 17).</w:t>
      </w:r>
    </w:p>
    <w:p>
      <w:r>
        <w:rPr>
          <w:b/>
        </w:rPr>
        <w:t>E. 4.2.1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135 I 43 consid. 1.2 p. 45; 133 I 128 consid. 3.1 p. 131 et les arrêts cités).</w:t>
      </w:r>
    </w:p>
    <w:p>
      <w:r>
        <w:rPr>
          <w:b/>
        </w:rPr>
        <w:t>E. 4.2.2</w:t>
      </w:r>
    </w:p>
    <w:p>
      <w:r>
        <w:t>L'art. 59 LCI, relatif au rapport des surfaces, dispose que la surface de la construction, exprimée en m</w:t>
      </w:r>
    </w:p>
    <w:p>
      <w:r>
        <w:t>2 de plancher (soit la surface brute de plancher de la totalité de la construction hors sol; cf. art. 59 al. 2 LCI),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(al. 1).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(al. 4 let. a).</w:t>
      </w:r>
    </w:p>
    <w:p>
      <w:r>
        <w:t>La clause d'esthétique contenue à l'art. 59 al. 4 LCI - appréciation des circonstances ainsi que du caractère, de l'harmonie et de l'aménagement du quartier - confère un large pouvoir d'appréciation à l'autorité chargée de l'appliquer, celle-ci n'étant limitée que par l'excès ou l'abus du pouvoir d'appréciation (arrêt 1P.50/2003 du 27 mars 2003 consid. 2.3).</w:t>
      </w:r>
    </w:p>
    <w:p>
      <w:r>
        <w:t>Enfin, en vertu de l'art. 10 al. 1, 2 et 3 de la LaLAT, les communes sont tenues d'adopter un plan directeur communal - fixant les orientations futures de l'aménagement de tout ou partie du territoire d'une ou plusieurs communes - qui doit être compatible avec les exigences de l'aménagement du territoire du canton contenues notamment dans le plan directeur cantonal. Selon l'art. 10 al. 8 LaLAT, le plan acquiert force obligatoire pour la commune et le Conseil d'Etat s'il est adopté par celle-là et approuvé par celui-ci. Il ne produit aucun effet juridique à l'égard des particuliers, lesquels ne peuvent former aucun recours à son encontre, ni à titre principal, ni à titre préjudiciel.</w:t>
      </w:r>
    </w:p>
    <w:p>
      <w:r>
        <w:rPr>
          <w:b/>
        </w:rPr>
        <w:t>E. 4.3</w:t>
      </w:r>
    </w:p>
    <w:p>
      <w:r>
        <w:t>Dans son arrêt, la Cour de justice a rappelé que selon l'art. 59 al. 4 let. a LCI, avant d'autoriser en zone villas un projet de construction en ordre contigu ou sous forme d'habitat groupé - dont la densité correspond à celle prévue par cette disposition -, le département doit recueillir l'appréciation de la CA, respectivement celle de la commune exprimées sous forme de préavis. L'instance précédente a constaté que la délivrance de telles autorisations de construire demeurait de la compétence exclusive du département (art. 3 al. 3 LCI), les communes n'ayant aucune compétence décisionnelle en la matière. Or, elle a estimé que le DALE - confronté à deux préavis opposés - n'avait pas excédé ou abusé du pouvoir d'appréciation que lui conférait l'art. 59 al. 4 let. a LCI, en choisissant de suivre le préavis de la CA - composée de spécialistes en matière d'architecture et d'urbanisme - et en délivrant l'autorisation querellée. Elle a certes relevé que le projet litigieux ne présentait pas les mêmes caractéristiques architecturales que les villas individuelles situées aux alentours. Cependant, sur la base d'une analyse détaillée des plans, l'instance précédente a considéré que le projet ne présentait pas de caractéristiques heurtant manifestement le caractère du quartier, son harmonie et son aménagement (dimensionnement, esthétique, etc). Elle notait en particulier que le législateur avait souhaité encourager la réalisation de ces nouvelles formes d'habitat (groupé ou en ordre contigu) lorsqu'il a augmenté les IUS dérogatoires susceptibles d'être appliqués dans cette zone; aux yeux de l'instance précédente, le législateur a considéré cette évolution comme une réponse utile et nécessaire par rapport aux problèmes de l'exiguïté du territoire et de la pénurie de logements et a manifesté sa volonté d'appliquer l'art. 59 al. 4 let. a LCI partout où les dérogations prescrites pouvaient avoir lieu. Selon l'instance précédente, l'implantation de ce type d'habitat modifiera à terme la configuration de la zone villas telle qu'elle s'était développée jusqu'à présent. De plus, le léger empiètement de la construction sur la partie considérée comme digne de protection selon le PDCom n'était pas contraire aux options d'aménagement prescrites.</w:t>
      </w:r>
    </w:p>
    <w:p>
      <w:r>
        <w:rPr>
          <w:b/>
        </w:rPr>
        <w:t>E. 4.3.1</w:t>
      </w:r>
    </w:p>
    <w:p>
      <w:r>
        <w:t>Le grief tiré de la violation de l'autonomie communale - soulevé par les recourants - peut d'emblée être écarté. En effet, dans la mesure où le département genevois compétent pour délivrer les autorisations de construire (art. 2 LCI) n'est pas lié par le préavis consultatif des communes (cf. art. 3 al. 3 et 59 al. 4 let. a LCI), celles-ci ne peuvent se prévaloir d'aucune autonomie en la matière (arrêt 1C_410/2008 du 30 janvier 2009 consid. 1.2). L'instance précédente relevait à cet égard que l'accord du conseil municipal de la commune concernée ne devait être requis que pour les projets de construction de plus grande envergure, soit ceux remplissant les conditions prévues par l'art. 59 al. 4 let. b LCI.</w:t>
      </w:r>
    </w:p>
    <w:p>
      <w:r>
        <w:rPr>
          <w:b/>
        </w:rPr>
        <w:t>E. 4.3.2</w:t>
      </w:r>
    </w:p>
    <w:p>
      <w:r>
        <w:t>Les recourants font ensuite valoir une application arbitraire de l'art. 59 al. 4 let. a LCI en tant que le DALE écarterait systématiquement le préavis communal négatif et jugerait la compatibilité du projet avec le caractère, l'harmonie et l'aménagement du quartier, sur la base d'une simple analyse des plans, sans inspection locale. Les intéressés soutiennent également que le projet de construction contreviendrait au PDCom au motif qu'il serait situé en partie dans la zone de sauvegarde fixée par ce plan; l'autorisation de construire violerait ainsi de manière arbitraire l'art. 10 al. 1 et 8 LaLAT qui prévoit que le PDCom a force obligatoire pour le DALE et le Conseil d'Etat.</w:t>
      </w:r>
    </w:p>
    <w:p>
      <w:r>
        <w:t>La critique des recourants n'est toutefois pas de nature à démontrer le caractère arbitraire de la décision entreprise. Le fait que le préavis de la CA ne soit pas motivé - ce qui aurait certes été judicieux pour le confronter à celui étayé de la commune - et qu'aucune inspection locale n'ait eu lieu ne rend pas pour autant arbitraire, à tout le moins dans son résultat, la décision d'autoriser la construction d'un projet présentant un des IUS dérogatoires prévus par l'art. 59 al. 4 let. a LCI. Les recourants n'expliquent d'ailleurs pas, à l'appui de leur grief, en quoi le projet porterait atteinte au caractère, à l'harmonie et à l'aménagement du q uartier. Ils se contentent d'affirmer que le projet empiéterait sur une zone de sauvegarde du milieu naturel de valeur bien conservé selon le PDCom; cependant, ils ne cherchent pas à démontrer que le projet - dont ils ne critiquent pas les qualités architecturales - mettrait en péril le site visé par la zone de sauvegarde; ils n'expliquent pas du tout pourquoi la topographie des lieux empêcherait un développement sous forme d'habitat groupé. Ils sied d'ailleurs de constater, à l'instar du TAPI, que les instances chargées de veiller à la protection de la nature et du paysage ne se sont pas opposées au projet et les recourants n'ont pas recouru contre l'autorisation d'abattage d'un arbre délivrée par l'autorité compétente. Les recourants ne contestent en outre pas le constat de l'instance précédente selon lequel seul le coin nord-ouest de la parcelle est inclus dans le périmètre de sauvegarde défini par le PDCom. Il n'apparaît dans ces circonstances pas insoutenable de considérer, à l'instar de l'instance précédente, que le léger empiètement de la construction sur la zone de sauvegarde ne s'oppose pas à la réalisation du projet. L'instance précédente pouvait sans arbitraire considérer que le classement d'une partie de la parcelle en zone de sauvegarde n'équivalait pas à une interdiction de bâtir.</w:t>
      </w:r>
    </w:p>
    <w:p>
      <w:r>
        <w:rPr>
          <w:b/>
        </w:rPr>
        <w:t>E. 4.3.3</w:t>
      </w:r>
    </w:p>
    <w:p>
      <w:r>
        <w:t>Enfin, contrairement à ce que soutiennent les recourants, aucun élément au dossier, en particulier le courrier du 24 juillet 2014 adressé par le Conseiller d'Etat à la commune - auquel ils se réfèrent -, ne permet de considérer que le DALE ignorerait systématiquement les préavis négatifs des communes. Le grief de violation du principe de l'égalité de traitement - fondé sur cette critique non étayée des recourants - tombe dès lors à faux.</w:t>
      </w:r>
    </w:p>
    <w:p>
      <w:r>
        <w:rPr>
          <w:b/>
        </w:rPr>
        <w:t>E. 4.4</w:t>
      </w:r>
    </w:p>
    <w:p>
      <w:r>
        <w:t>L'arrêt attaqué n'est en définitive ni arbitraire, à tout le moins dans son résultat, ni d'une autre manière contraire au droit.</w:t>
      </w:r>
    </w:p>
    <w:p>
      <w:r>
        <w:rPr>
          <w:b/>
        </w:rPr>
        <w:t>E. 5</w:t>
      </w:r>
    </w:p>
    <w:p>
      <w:r>
        <w:t>Le recours doit par conséquent être rejeté, dans la mesure où il est recevable, aux frais des recourants qui succombent ( art. 65 et 66 al. 1 LTF ). Ils verseront en outre solidairement une indemnité de dépens à l'intimé,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