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1C_475/2019 vom 29. Januar 2020</w:t>
      </w:r>
    </w:p>
    <w:p>
      <w:r>
        <w:t>Bundesgericht, 2020-01-29, DE</w:t>
      </w:r>
    </w:p>
    <w:p>
      <w:r>
        <w:rPr>
          <w:b/>
        </w:rPr>
        <w:t xml:space="preserve">Quelle: </w:t>
      </w:r>
      <w:r>
        <w:t>https://mcp.opencaselaw.ch/entscheid/bger_1C_475_2019</w:t>
      </w:r>
    </w:p>
    <w:p>
      <w:r>
        <w:t>FR: TF 1C_475/2019 du 29 janvier 2020</w:t>
      </w:r>
    </w:p>
    <w:p>
      <w:r>
        <w:t>IT: TF 1C_475/2019 del 29 gennaio 2020</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 BGE 133 II 249 E. 1.2 S. 251; 133 II 409 E. 1.1 S. 411).</w:t>
      </w:r>
    </w:p>
    <w:p>
      <w:r>
        <w:rPr>
          <w:b/>
        </w:rPr>
        <w:t>E. 1.2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das Bundesgericht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1.3</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w:t>
      </w:r>
    </w:p>
    <w:p>
      <w:r>
        <w:rPr>
          <w:b/>
        </w:rPr>
        <w:t>E. 1.4</w:t>
      </w:r>
    </w:p>
    <w:p>
      <w:r>
        <w:t>Das Bundesgericht wendet das Bundesrecht grundsätzlich von Amtes wegen an ( Art. 106 Abs. 1 BGG ); die Verletzung von Grundrechten überprüft es dagegen nur insoweit, als eine solche Rüge in der Beschwerde vorgebracht und genügend begründet worden ist ( Art. 106 Abs. 2 BGG ; BGE 133 II 249 E. 1.4.2 S. 254 mit Hinweisen).</w:t>
      </w:r>
    </w:p>
    <w:p>
      <w:r>
        <w:rPr>
          <w:b/>
        </w:rPr>
        <w:t>E. 2.1</w:t>
      </w:r>
    </w:p>
    <w:p>
      <w:r>
        <w:t>Nach Art. 90 BGG ist die Beschwerde zulässig gegen Entscheide, die das Verfahren abschliessen. Endentscheide sind Entscheide, mit denen ein Verfahren in der Hauptsache aus prozessualen oder materiellen Gründen beendet wird (SEILER/VON WERDT/GÜNGERICH/OBERHOLZER, Bundesgerichtsgesetz [BGG], 2. Aufl., 2015, Rz. 4 zu Art. 90 BGG ). Von weiteren, hier nicht interessierenden Ausnahmen abgesehen, wird von der Beschränkung der Anfechtbarkeit auf Endentscheide abgewichen, wenn ein selbständig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Urteil des Bundesgerichts 1C_19/2019 vom 7. Oktober 2019 E. 2.2, zur Publikation vorgesehen).</w:t>
      </w:r>
    </w:p>
    <w:p>
      <w:r>
        <w:rPr>
          <w:b/>
        </w:rPr>
        <w:t>E. 2.2</w:t>
      </w:r>
    </w:p>
    <w:p>
      <w:r>
        <w:t>Angefochten ist vorliegend nicht der Nichteintretensentscheid der Baubewilligungsbehörde bzw. des kantonalen Amts, sondern der Feststellungsentscheid des Departements im Rekursverfahren. Es erscheint dabei fraglich, ob es sich hierbei um eine Feststellung handelt oder nicht eher um die rechtsgestaltende Abweisung eines zumindest sinngemässen Gesuchs um Einbezug ins Verfahren. Diese Frage braucht indes nicht entschieden zu werden. Da das Verfahren durch die Verfügung nicht abgeschlossen wird, handelt es sich jedenfalls um eine Zwischenverfügung. Das Bundesgericht hat im Übrigen keine Kenntnis davon, dass das Verfahren in der Sache bisher abgeschlossen wäre.</w:t>
      </w:r>
    </w:p>
    <w:p>
      <w:r>
        <w:rPr>
          <w:b/>
        </w:rPr>
        <w:t>E. 2.3</w:t>
      </w:r>
    </w:p>
    <w:p>
      <w:r>
        <w:t>Für die Frage der Anfechtbarkeit massgeblich ist vorliegend, ob der selbständig eröffnete Zwischenentscheid für den Beschwerdeführer einen nicht wieder gutzumachenden Nachteil bewirken kann ( Art. 93 Abs. 1 lit. a BGG ). Dies ist zu bejahen, da ansonsten das ganze Verfahren durch alle Instanzen ohne seine Beteiligung durchgeführt würde und diese Behörden über die Sache bereits entschieden hätten, bevor er sich gegebenenfalls erstmals zur Sache äussern könnte. Diese ihm drohende formelle Rechtsverweigerung bewirkt einen irreversiblen Nachteil. Das Bundesgericht tritt deshalb auf die Beschwerde ein.</w:t>
      </w:r>
    </w:p>
    <w:p>
      <w:r>
        <w:rPr>
          <w:b/>
        </w:rPr>
        <w:t>E. 3.1</w:t>
      </w:r>
    </w:p>
    <w:p>
      <w:r>
        <w:t>Streitig ist einzig die Frage, ob es Bundesrecht verletzt, den Beschwerdeführer nicht am Rekursverfahren des Beschwerdegegners zu beteiligen. Der Beschwerdeführer rügt eine Verletzung von Art. 29 Abs. 1 BV , von Art. 111 BGG und Art. 33 RPG sowie eine willkürliche Anwendung des kantonalen Verfahrensrechts.</w:t>
      </w:r>
    </w:p>
    <w:p>
      <w:r>
        <w:rPr>
          <w:b/>
        </w:rPr>
        <w:t>E. 3.2</w:t>
      </w:r>
    </w:p>
    <w:p>
      <w:r>
        <w:t>Art. 29 Abs. 1 BV umfasst als Teilgehalt das Verbot der formellen Rechtsverweigerung. Im engeren Sinne liegt eine solche vor, wenn eine Behörde auf eine Eingabe fälschlicherweise nicht eintritt oder eine solche nicht an die Hand nimmt und behandelt, obwohl sie dazu verpflichtet wäre (vgl. BGE 144 II 184 E. 3.1 S. 192 ; 135 I 6 E. 2.1 S. 9). 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zu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130 V 177 E. 5.4.1 S. 183 f.). Ob eine solche Rechtsverweigerung vorliegt, prüft das Bundesgericht frei ( BGE 144 II 184 E. 3.1 S. 192). Die Auslegung und Anwendung des einschlägigen kantonalen Rechts untersucht es hingegen nur unter dem Gesichtswinkel der Willkür (vgl. vorne E. 1.2).</w:t>
      </w:r>
    </w:p>
    <w:p>
      <w:r>
        <w:rPr>
          <w:b/>
        </w:rPr>
        <w:t>E. 3.3</w:t>
      </w:r>
    </w:p>
    <w:p>
      <w:r>
        <w:t>Um beurteilen zu können, ob es sich bei der Nichtbeteiligung des Beschwerdeführers am Rekursverfahren des Beschwerdegegners um eine formelle Rechtsverweigerung handelt, ist vorerst zu prüfen, ob der Beschwerdeführer bereits im Einspracheverfahren beschwerdelegitimiert gewesen wäre.</w:t>
      </w:r>
    </w:p>
    <w:p>
      <w:r>
        <w:rPr>
          <w:b/>
        </w:rPr>
        <w:t>E. 3.3.1</w:t>
      </w:r>
    </w:p>
    <w:p>
      <w:r>
        <w:t>Gemäss Art. 33 Abs. 3 lit. a RPG ist die Legitimation in kantonalen Verfahren betreffend Nutzungspläne und raumplanerische Verfügungen - z.B. Baubewilligungen - mindestens im gleichen Umfang gewährleistet wie für die Beschwerde in öffentlich-rechtlichen Angelegenheiten. Gleiches ergibt sich auch aus Art. 111 Abs. 1 BGG (Grundsatz der Einheit des Verfahrens; vgl. dazu BGE 136 II 281 E. 2.1 S. 283 f.). Zu prüfen ist daher, ob der Beschwerdeführer nach den für die Beschwerde in öffentlich-rechtlichen Angelegenheiten geltenden Kriterien ( Art. 89 Abs. 1 BGG ; vgl. dazu BGE 136 II 281 E. 2.2 und 2.3 S. 284-286; sowie das Urteil des Bundesgerichts 1C_101/2016 vom 21. November 2016 E. 3.2 und 3.3) zur Beschwerde befugt wäre (vgl. dazu das Urteil des Bundesgerichts 1C_475/2017 vom 21. September 2018 E. 2).</w:t>
      </w:r>
    </w:p>
    <w:p>
      <w:r>
        <w:rPr>
          <w:b/>
        </w:rPr>
        <w:t>E. 3.3.2</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w:t>
      </w:r>
    </w:p>
    <w:p>
      <w:r>
        <w:t>Die Rechtsprechung bejaht ein schutzwürdiges Interesse im Sinne von Art. 89 Abs. 1 lit. c BGG , wenn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141 II 50 E. 2.1 S. 52). Nach der bundesgerichtlichen Rechtsprechung sind Nachbarn zur Beschwerdeführung gegen ein Bauvorhaben legitimiert, wenn sie mit Sicherheit oder zumindest grosser Wahrscheinlichkeit durch Immissionen wie Lärm, Staub, Erschütterungen, Licht oder andere Einwirkungen betroffen werden, die der Bau oder Betrieb der fraglichen Anlage hervorruft. Als wichtiges Kriterium zur Beurteilung der Betroffenheit dient in der Praxis die räumliche Distanz zum Bauvorhaben. Die Rechtsprechung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 BGE 140 II 214 E. 2.3 S. 220 f. mit Hinweisen). Der Beeinträchtigung muss ein gewisses Gewicht zukommen, um eine Betroffenheit zu begründen, die grösser ist als diejenige der Allgemeinheit (Urteil des Bundesgerichts 1C_107/2018 vom 30. August 2018 E. 4.1).</w:t>
      </w:r>
    </w:p>
    <w:p>
      <w:r>
        <w:rPr>
          <w:b/>
        </w:rPr>
        <w:t>E. 3.3.3</w:t>
      </w:r>
    </w:p>
    <w:p>
      <w:r>
        <w:t>Der Beschwerdeführer ist Eigentümer eines Grundstücks, das direkt an das Grundstück des Beschwerdeführers grenzt, auf dem sich das Wohnhaus befindet, zu welchem die neue Frischwasserleitung führt. Wie dem aktenkundigen Entscheid des Amts für Raum und Wald, Abteilung Raumentwicklung des Kantons Appenzell Ausserrhoden vom 10. April 2018 zu entnehmen ist, grenzt das Grundstück des Beschwerdeführers zudem an ein in der Landwirtschaftszone liegendes Grundstück, durch welches die Frischwasserleitung führt. Der Abstand der Frischwasserleitung zum Grundstück des Beschwerdeführers wird darin auf "20 m und mehr" angegeben. Vom Bau der Frischwasserzuleitung gehen jedenfalls Bauimmissionen aus (Lärm, Staub, evtl. Verkehr). Angesichts der zu erwartenden Immissionen und der Nähe des Beschwerdeführers zum streitigen Bau wäre er nach der wiedergegebenen bundesgerichtlichen Rechtsprechung beschwerdelegitimiert. Dabei kann dem Beschwerdeführer nicht entgegengehalten werden, dass die Bauimmissionen bereits stattgefunden haben. Die Frischwasserzuleitung wurde ohne Baubewilligung erstellt. Dem Beschwerdeführer darf daraus kein Nachteil entstehen.</w:t>
      </w:r>
    </w:p>
    <w:p>
      <w:r>
        <w:t>Hinzu kommt, dass der Beschwerdeführer laut seiner Beschwerdeschrift der Baubewilligungskommission Walzenhausen ein Wiederaufnahmebegehren oder Wiedererwägungsgesuch gestellt hat, mit dem er die fehlende Baureife des Wohnhauses des Beschwerdegegners geltend macht, zu welchem die streitige Frischwasserzuleitung führt. Er bestreitet darin, dass dieses Wohnhaus im Sinne von Art. 19 RPG hinreichend erschlossen sei. Demnach fehle eine Voraussetzung für die Erteilung einer Baubewilligung nach Art. 22 Abs. 2 lit. b RPG . Eine ungenügende Erschliessung hätte zur Folge, dass ein Widerruf der Baubewilligung des Wohnhauses geprüft werden müsse. Daraus leitet er zusätzlich einen konkreten praktischen Nutzen ab, dass der Beschwerdegegner den rechtmässigen Zustand wiederherstellen müsste.</w:t>
      </w:r>
    </w:p>
    <w:p>
      <w:r>
        <w:rPr>
          <w:b/>
        </w:rPr>
        <w:t>E. 3.3.4</w:t>
      </w:r>
    </w:p>
    <w:p>
      <w:r>
        <w:t>Der Beschwerdeführer wäre somit nach Art. 89 Abs. 1 BGG beschwerdelegitimiert. Damit ist er nach Art. 33 Abs. 3 lit. a RPG und Art. 111 Abs. 1 BGG auch im kantonalen Verfahren als Partei zuzulassen (vgl. dazu vorne E. 3.3.1).</w:t>
      </w:r>
    </w:p>
    <w:p>
      <w:r>
        <w:rPr>
          <w:b/>
        </w:rPr>
        <w:t>E. 3.4</w:t>
      </w:r>
    </w:p>
    <w:p>
      <w:r>
        <w:t>Dem Beschwerdeführer kann weiter nicht entgegengehalten werden, dass er kein Rechtsmittel gegen den Entscheid der Baubewilligungskommission Walzenhausen vom 2. Juli 2018, welche den Nichteintretensentscheid des kantonalen Amts vom 10. April 2018 enthielt, ergriffen hat. Der Beschwerdeführer war von jenem Entscheid materiell höchstens in unwesentlichen Nebenpunkten beschwert. Insbesondere hatte er die Wiederherstellung innerhalb von 30 Tagen beantragt, wohingegen die Baubewilligungskommission dafür eine Frist von 90 Tagen anordnete. Da er im Hauptpunkt materiell nicht beschwert war, hätte insoweit auf eine allfällige Beschwerde nicht eingetreten werden können. Allein wegen den Nebenpunkten eine Beschwerdeerhebung zu verlangen, erscheint nicht nur unzumutbar, sondern vermag auch das Fehlen der materiellen Beschwer im Hauptpunkt nicht zu beseitigen. Das liefe überdies auf einen prozessualen Leerlauf hinaus, wäre durch keine schutzwürdigen Interessen gerechtfertigt und würde die Verwirklichung des materiellen Rechts in unhaltbarer Weise erschweren. Im Ergebnis liegt daher eine formelle Rechtsverweigerung in der Form des überspitzten Formalismus und damit ein Verstoss gegen Art. 29 Abs. 1 BV vor (vgl. dazu vorne E. 3.2). Demnach hat der Beschwerdeführer seinen Anspruch auf Beteiligung am Rekursverfahren nicht verwirkt. Er ist am Rekursverfahren des Beschwerdegegners zu beteiligen.</w:t>
      </w:r>
    </w:p>
    <w:p>
      <w:r>
        <w:rPr>
          <w:b/>
        </w:rPr>
        <w:t>E. 3.5</w:t>
      </w:r>
    </w:p>
    <w:p>
      <w:r>
        <w:t>Damit kann offenbleiben, ob die Vorinstanz überdies das kantonale Verfahrensrecht willkürlich angewendet hat.</w:t>
      </w:r>
    </w:p>
    <w:p>
      <w:r>
        <w:rPr>
          <w:b/>
        </w:rPr>
        <w:t>E. 4</w:t>
      </w:r>
    </w:p>
    <w:p>
      <w:r>
        <w:t>Zusammenfassend ist die Beschwerde gutzuheissen. Der angefochtene Entscheid muss aufgehoben werden. Die Sache ist an das Departement zur Weiterführung des Verfahrens im Sinne der Erwägungen zurückzuweisen.</w:t>
      </w:r>
    </w:p>
    <w:p>
      <w:r>
        <w:t>Bei diesem Ausgang des Verfahrens wird der Beschwerdegegner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