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1C_475/2011 vom 5. Dezember 2011</w:t>
      </w:r>
    </w:p>
    <w:p>
      <w:r>
        <w:t>Bundesgericht, 2011-12-05, DE</w:t>
      </w:r>
    </w:p>
    <w:p>
      <w:r>
        <w:rPr>
          <w:b/>
        </w:rPr>
        <w:t xml:space="preserve">Quelle: </w:t>
      </w:r>
      <w:r>
        <w:t>https://mcp.opencaselaw.ch/entscheid/bger_1C_475_2011</w:t>
      </w:r>
    </w:p>
    <w:p>
      <w:r>
        <w:t>FR: TF 1C_475/2011 du 5 décembre 2011</w:t>
      </w:r>
    </w:p>
    <w:p>
      <w:r>
        <w:t>IT: TF 1C_475/2011 del 5 dicembre 2011</w:t>
      </w:r>
    </w:p>
    <w:p>
      <w:pPr>
        <w:pStyle w:val="Heading2"/>
      </w:pPr>
      <w:r>
        <w:t>Erwägungen</w:t>
      </w:r>
    </w:p>
    <w:p>
      <w:r>
        <w:rPr>
          <w:b/>
        </w:rPr>
        <w:t>E. 1</w:t>
      </w:r>
    </w:p>
    <w:p>
      <w:r>
        <w:t>Die Beschwerdeführerin ersucht in der Replik (S. 3 Ziff. 3) um eine Verlängerung der Frist um drei Wochen, um ergänzende Ausführungen zu machen.</w:t>
      </w:r>
    </w:p>
    <w:p>
      <w:r>
        <w:t>Die Beschwerdeführerin konnte sich hinreichend äussern. Die Sache ist spruchreif. Das Gesuch wird deshalb abgewiesen.</w:t>
      </w:r>
    </w:p>
    <w:p>
      <w:r>
        <w:rPr>
          <w:b/>
        </w:rPr>
        <w:t>E. 2.1</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Es kann dahingestellt bleiben, ob ein nach Art. 93 Abs. 2 i.V.m. Abs. 1 BGG anfechtbarer Zwischenentscheid vorliegt. Auch bei einem solchen müsste das Erfordernis des besonders bedeutenden Falles gemäss Art. 84 BGG erfüllt sein ( BGE 136 IV 20 E. 1.2 S. 22 mit Hinweisen). Wie die Bundesanwaltschaft und das Bundesamt zutreffend vorbringen, kann ein solcher Fall hier nicht angenommen werden.</w:t>
      </w:r>
    </w:p>
    <w:p>
      <w:r>
        <w:t>Die Vorinstanz hat sich mit den Einwänden der Beschwerdeführerin auseinandergesetzt. Sie kommt zum Schluss, die Kontosperre erweise sich noch als verhältnismässig. Eine Blockierung von bisher rund 3 Jahren sei auch mit der Eigentumsgarantie ( Art. 26 BV ) vereinbar (angefochtener Entscheid S. 12 f.). Die Erwägungen der Vorinstanz, auf welche verwiesen werden kann, stützen sich auf die bundesgerichtliche Rechtsprechung und lassen keine Bundesrechtsverletzung erkennen. Der Fall ist nicht von aussergewöhnlicher Tragweite. Rechtsfragen von grundsätzlicher Bedeutung stellen sich nicht. Für das Bundesgericht besteht deshalb kein Anlass, die Sache an die Hand zu nehmen.</w:t>
      </w:r>
    </w:p>
    <w:p>
      <w:r>
        <w:t>Auf die Beschwerde wird daher nicht eingetreten.</w:t>
      </w:r>
    </w:p>
    <w:p>
      <w:r>
        <w:rPr>
          <w:b/>
        </w:rPr>
        <w:t>E. 3</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