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1C_474/2020 vom 19. April 2021</w:t>
      </w:r>
    </w:p>
    <w:p>
      <w:r>
        <w:t>Bundesgericht, 2021-04-19, FR</w:t>
      </w:r>
    </w:p>
    <w:p>
      <w:r>
        <w:rPr>
          <w:b/>
        </w:rPr>
        <w:t xml:space="preserve">Quelle: </w:t>
      </w:r>
      <w:r>
        <w:t>https://mcp.opencaselaw.ch/entscheid/bger_1C_474_2020</w:t>
      </w:r>
    </w:p>
    <w:p>
      <w:r>
        <w:t>FR: TF 1C_474/2020 du 19 avril 2021</w:t>
      </w:r>
    </w:p>
    <w:p>
      <w:r>
        <w:t>IT: TF 1C_474/2020 del 19 aprile 2021</w:t>
      </w:r>
    </w:p>
    <w:p>
      <w:pPr>
        <w:pStyle w:val="Heading2"/>
      </w:pPr>
      <w:r>
        <w:t>Erwägungen</w:t>
      </w:r>
    </w:p>
    <w:p>
      <w:r>
        <w:rPr>
          <w:b/>
        </w:rPr>
        <w:t>E. 1</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et ss LTF,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d'une constatation manifestement inexacte des faits ( art. 97 al. 1 LTF ) et reproche à l'autorité précédente de s'être fondée sur le rapport de police qui définit de façon évasive les faits constitutifs de l'infraction et ne permet pas de dire avec certitude, ni à quelle vitesse il circulait, ni à quelle distance il se trouvait du véhicule qui le précédait.</w:t>
      </w:r>
    </w:p>
    <w:p>
      <w:r>
        <w:rPr>
          <w:b/>
        </w:rPr>
        <w:t>E. 2.1</w:t>
      </w:r>
    </w:p>
    <w:p>
      <w:r>
        <w:t>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voir aussi arrêts 1C_403/2020 du 20 juillet 2020 consid. 3 et 1C_470/2019 du 31 janvier 2020 consid. 5.1.2).</w:t>
      </w:r>
    </w:p>
    <w:p>
      <w:r>
        <w:rPr>
          <w:b/>
        </w:rPr>
        <w:t>E. 2.2</w:t>
      </w:r>
    </w:p>
    <w:p>
      <w:r>
        <w:t>Le recourant a été condamné le 6 novembre 2017 à une amende de 400 francs pour les faits figurant dans le rapport de police du 31 octobre 2017 que le recourant a admis; il ne s'est pas opposé à la procédure simplifiée. Le 10 novembre 2017, soit 4 jours après le prononcé de l'amende, le SCAN a écrit au recourant, lui résumant les faits en indiquant que les infractions susmentionnées pouvaient, à première vue, entraîner le retrait du permis de conduire et lui impartissait un délai pour l'exercice de son droit d'être entendu tout en soulignant le devoir de s'opposer à une condamnation pénale sous peine d'être lié par l'appréciation retenue par cette autorité. Ce n'est qu'à réception de cette lettre que le recourant a indiqué que, s'agissant du non-respect de la distance de sécurité, il ne pouvait se prononcer car il n'avait pas l'impression d'être aussi proche du véhicule le devançant, tout en admettant avoir utilisé son téléphone portable sans dispositif et avoir oublié, à deux reprises, d'annoncer un changement de direction. Comme le souligne la cour cantonale, le recourant a admis, dans un premier temps, les faits puis à réception de la première lettre du SCAN, les a mis en doute pour finir par les contester une fois la décision du retrait de permis prise à son encontre.</w:t>
      </w:r>
    </w:p>
    <w:p>
      <w:r>
        <w:t>S'agissant de l'approximation de la distance entre les deux véhicules, la cour cantonale a indiqué que les policiers se trouvaient dans un tunnel avec une bonne visibilité qui leur permettait d'évaluer la distance de sécurité entre les deux véhicules et que l'utilisation du terme "environ" avait pour seule fonction d'indiquer qu'une légère différence était possible. A cet égard, il est insuffisant d'affirmer péremptoirement que les constatations des agents de police ne seraient pas fiables au seul motif qu'aucun moyen technique ne les corroborerait; le recourant a d'ailleurs souligné que l'utilisation de tels moyens techniques pour mesurer la distance de sécurité n'était pas formellement exigée par le droit fédéral (cf. art. 9 al. 1 let . c de l'ordonnance sur le contrôle de la circulation routière du 28 mars 2007 [OCCR; RS 741.013]) (arrêt 1C_30/2017 du 21 avril 2017, consid. 3.3.).</w:t>
      </w:r>
    </w:p>
    <w:p>
      <w:r>
        <w:t>La portée de ce grief se trouve en outre relativisée dans la mesure où le Tribunal cantonal a procédé, bien qu'intervenant en tant que juge administratif, à un examen circonstancié des critiques du recourant portant sur l'établissement des faits; il a en particulier, pour calculer le temps de freinage, diminué la vitesse à 85 km/h, prenant en compte dans son calcul une marge de sécurité de 15 km/h, et augmenté la distance à 15 mètres en lieu et place des 10 mètres retenus dans le rapport de police, pour arriver à la conclusion que le recourant ne disposait que de 0,6 secondes pour s'arrêter. Ce faisant, la cour cantonale a pris en compte le fait que la distance et la vitesse retenues dans le rapport de police, admis par le recourant, résultaient de constatations faites par la police et que de légères variations étaient possibles.</w:t>
      </w:r>
    </w:p>
    <w:p>
      <w:r>
        <w:t>En tant qu'il remet en cause la vitesse et la distance entre les deux véhicules telles qu'elles résultent du rapport de police, le recours est donc mal fondé dans la mesure où il est recevable.</w:t>
      </w:r>
    </w:p>
    <w:p>
      <w:r>
        <w:rPr>
          <w:b/>
        </w:rPr>
        <w:t>E. 3</w:t>
      </w:r>
    </w:p>
    <w:p>
      <w:r>
        <w:t>Le recourant s'en prend aussi à la qualification juridique retenue, estimant avoir tout au plus commis une faute moyennement grave au sens de l' art. 16b LCR .</w:t>
      </w:r>
    </w:p>
    <w:p>
      <w:r>
        <w:rPr>
          <w:b/>
        </w:rPr>
        <w:t>E. 3.1</w:t>
      </w:r>
    </w:p>
    <w:p>
      <w:r>
        <w:t>Selon l' art. 34 al. 4 LCR ,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w:t>
      </w:r>
    </w:p>
    <w:p>
      <w:r>
        <w:t>Il n'existe pas de règle absolue sur ce qu'il faut entendre par "distance suffisante" au sens de l' 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"demi-compteur" (correspondant à un intervalle de 1.8 secondes) étaient des standards minimaux habituellement reconnus ( ATF 131 IV 133 consid. 3.1 p. 135; 104 IV 92 consid. 2b p. 194). Un cas peut être grave lorsque l'intervalle entre les véhicules est inférieur à 0.8, voire 0.6 seconde ( ATF 131 IV 133 consid. 3.2.2 p. 137).</w:t>
      </w:r>
    </w:p>
    <w:p>
      <w:r>
        <w:t>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arrêts 1C_356/2009 du 12 février 2010; 1C_7/2010 du 11 mai 2010; 1C_274/210 du 7 octobre 2010), lorsque, à une vitesse de 110 km/h, il a suivi la voiture précédente sur 1'200 mètres à une distance oscillant entre 5 et 10 mètres (0.32 seconde [arrêt 1C_502/2011 du 6 mars 2012]) ou encore lorsqu'il a circulé à une vitesse de 125 km/h, à nouveau sur 1'200 mètres, à une distance de 15 mètres du véhicule qui le précédait (0.4 seconde [arrêt 1C_446/2011 du 15 mars 2012]). En revanche, la faute a été qualifiée de moyennement grave au sens de l' 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w:t>
      </w:r>
    </w:p>
    <w:p>
      <w:r>
        <w:rPr>
          <w:b/>
        </w:rPr>
        <w:t>E. 3.2</w:t>
      </w:r>
    </w:p>
    <w:p>
      <w:r>
        <w:t>Il y a tout d'abord lieu de rappeler que si les faits retenus dans la procédure pénale lient en principe les autorités administratives ( ATF 139 II 95 consid. 3.2 p. 101 s. et les arrêts cités), il en va différemment des questions de droit, en particulier de l'appréciation de la faute et de la mise en danger (arrêts 1C_548/2012 du 6 août 2013 consid. 2.1; 1C_353/2011 du 12 janvier 2010 consid. 2.1 et les références).</w:t>
      </w:r>
    </w:p>
    <w:p>
      <w:r>
        <w:t>En l'occurrence, le recourant a suivi un véhicule sur plus de 400 mètres, sur la voie de gauche de l'autoroute, à une vitesse d'environ 100 km/h en n'observant qu'une distance d'environ 10 mètres, soit un intervalle correspondant à 0.36 secondes. Ces faits constituent clairement une faute grave au sens de l'art. 15c al. 1 let. a et al. 2 let. a LCR. Comme l'a souligné la cour cantonale, même si l'on applique au recourant la marge de sécurité 15 km/h prévue en cas de mesure de vitesse effectuée au moyen d'un véhicule-suiveur, sans système calibré (art. 8 let. i de l'ordonnance de l'OFROU), l'écart entre les véhicules était de 15 mètres à une vitesse de 85 km/h, soit un intervalle correspondant à 0.6 secondes. Dès lors, la qualification retenue par la cour cantonale ne prête pas le flanc à la critique surtout si l'on retient que l'infraction a été commise, certes sur une distance de moins d'un demi-kilomètre, mais sur la voie de dépassement, infraction à laquelle il faut ajouter l'utilisation du téléphone portable et l'oubli, à deux reprises, d'indiquer le changement de direction.</w:t>
      </w:r>
    </w:p>
    <w:p>
      <w:r>
        <w:t>Partant, la juridiction cantonale n'a pas procédé de manière arbitraire, ni violé le droit fédéral en confirmant la mesure prononcée par le Département.</w:t>
      </w:r>
    </w:p>
    <w:p>
      <w:r>
        <w:rPr>
          <w:b/>
        </w:rPr>
        <w:t>E. 4</w:t>
      </w:r>
    </w:p>
    <w:p>
      <w:r>
        <w:t>Dans un dernier argument, le recourant soutient que l'autorité pénale ayant retenu que la mise en danger n'était que légère, le Tribunal cantonal ne pouvait pas s'écarter de cette appréciation.</w:t>
      </w:r>
    </w:p>
    <w:p>
      <w:r>
        <w:t>Contrairement à ce que suppose le recourant, l'infraction réprimée par l' art. 90 ch. 1 LCR n'implique pas de déterminer si son comportement a joué un rôle primordial ou non dans l'accident. Les règles de la circulation sont des prescriptions de sécurité destinées à prévenir les accidents. L'infraction visée par l' art. 90 ch. 1 LCR est conçue comme un délit formel de mise en danger abstrait, de sorte qu'il suffit de violer une règle de comportement imposée par la loi pour que l'infraction soit consommée, indépendamment de la survenance d'un danger concret ou d'une lésion ( ATF 92 IV 33 consid. 1 p. 34; arrêt 6B_965/2010 du 17 mai 2011 consid. 3.2; cf. YVAN JEANNERET, Les dispositions pénales de la loi sur la circulation routière, 2007, n. 17 ad art. 90 LCR ).</w:t>
      </w:r>
    </w:p>
    <w:p>
      <w:r>
        <w:t>Il s'ensuit que la condamnation du recourant en vertu de l' art. 90 ch. 1 LCR ne viole pas le droit fédéral. Le grief est infondé.</w:t>
      </w:r>
    </w:p>
    <w:p>
      <w:r>
        <w:rPr>
          <w:b/>
        </w:rPr>
        <w:t>E. 5</w:t>
      </w:r>
    </w:p>
    <w:p>
      <w:r>
        <w:t>Par conséquent, le recours est rejeté dans la mesure de sa recevabilité.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