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1C_474/2017 vom 13. Dezember 2017</w:t>
      </w:r>
    </w:p>
    <w:p>
      <w:r>
        <w:t>Bundesgericht, 2017-12-13, FR</w:t>
      </w:r>
    </w:p>
    <w:p>
      <w:r>
        <w:rPr>
          <w:b/>
        </w:rPr>
        <w:t xml:space="preserve">Quelle: </w:t>
      </w:r>
      <w:r>
        <w:t>https://mcp.opencaselaw.ch/entscheid/bger_1C_474_2017</w:t>
      </w:r>
    </w:p>
    <w:p>
      <w:r>
        <w:t>FR: TF 1C_474/2017 du 13 décembre 2017</w:t>
      </w:r>
    </w:p>
    <w:p>
      <w:r>
        <w:t>IT: TF 1C_474/2017 del 13 dicembre 2017</w:t>
      </w:r>
    </w:p>
    <w:p>
      <w:pPr>
        <w:pStyle w:val="Heading2"/>
      </w:pPr>
      <w:r>
        <w:t>Erwägungen</w:t>
      </w:r>
    </w:p>
    <w:p>
      <w:r>
        <w:rPr>
          <w:b/>
        </w:rPr>
        <w:t>E. 1</w:t>
      </w:r>
    </w:p>
    <w:p>
      <w:r>
        <w:t>La décision attaquée a été rendue dans une cause de droit public ( art. 82 let. a LTF ) et aucune des exceptions prévues à l' art. 83 LTF n'est réalisée. La recourante a pris part à la procédure devant l'autorité précédente. Elle est particulièrement atteinte par la décision attaquée en vertu de laquelle, d'une part, lui est infligée une amende de 500 fr. et, d'autre part, lui sont réclamés des documents concernant une servitude qu'elle tient pour illicite. La recourante a un intérêt digne de protection à l'annulation ou la modification de cette décision ( art. 89 al. 1 LTF ). Le recours est formé en temps utile ( art. 100 al. 1 LTF ) contre une décision finale ( art. 90 LTF ) rendue en dernière instance cantonale ( art. 86 al. 1 let . d LTF). Le recours est dès lors recevable.</w:t>
      </w:r>
    </w:p>
    <w:p>
      <w:r>
        <w:rPr>
          <w:b/>
        </w:rPr>
        <w:t>E. 2</w:t>
      </w:r>
    </w:p>
    <w:p>
      <w:r>
        <w:t>L'arrêt attaqué a constaté que l'autorisation de construire du 25 mars 2015 assortie de la condition litigieuse n'avait pas été contestée devant l'autorité de recours. Dans la mesure où personne ne soutenait qu'il existerait un motif de reconsidération, la décision ainsi que sa condition n° 7 avaient acquis la force de chose décidée.</w:t>
      </w:r>
    </w:p>
    <w:p>
      <w:r>
        <w:t>La cour cantonale a ensuite posé que le courrier du Département du 18 mai 2016 ne constituait une décision au sens de l'art. 4 de la loi genevoise sur la procédure administrative du 12 septembre 1985 (LPA; RS/GE E 5 10) que dans la mesure où il infligeait une amende à la recourante. En ce qui concernait l'injonction de déposer les documents démontrant l'inscription de la servitude litigieuse, il s'agissait d'une simple mesure d'exécution d'une décision en force ( art. 59 let. b LPA ) contre laquelle le recours n'était pas recevable.</w:t>
      </w:r>
    </w:p>
    <w:p>
      <w:r>
        <w:t>Ces développements, fondés sur le droit de procédure cantonal, ne sont pas remis en cause par la recourante, de sorte que - reposant sur le droit cantonal - ils fixent le cadre du débat devant le Tribunal fédéral.</w:t>
      </w:r>
    </w:p>
    <w:p>
      <w:r>
        <w:rPr>
          <w:b/>
        </w:rPr>
        <w:t>E. 3</w:t>
      </w:r>
    </w:p>
    <w:p>
      <w:r>
        <w:t>La recourante soutient devant le Tribunal fédéral, comme elle l'a développé devant les instances cantonales, que la clause contenue dans l'autorisation de construire serait radicalement nulle, ce qui lui permettrait de faire valoir cette nullité à titre incident dans le cadre de l'examen de l'amende administrative dont elle est l'objet. Elle pointe une incompétence matérielle de l'autorité à imposer l'inscription d'une servitude de droit privé; elle dénonce aussi une violation des principes de la légalité, de la garantie de la propriété et de la proportionnalité.</w:t>
      </w:r>
    </w:p>
    <w:p>
      <w:r>
        <w:rPr>
          <w:b/>
        </w:rPr>
        <w:t>E. 3.1</w:t>
      </w:r>
    </w:p>
    <w:p>
      <w:r>
        <w:t>La clause litigieuse impose à la recourante de faire inscrire auprès du registre foncier, avant l'ouverture du chantier, une servitude de passage définie sur les plans déposés. En ce sens, la clause accessoire impose à la recourante un devoir de faire, à l'instar de l'obligation de démolir une ancienne construction ou de procéder à une compensation écologique: il s'agit ainsi d'une charge ( ATF 129 II 361 consid. 4.2 p. 370; Stalder/Tschirky, in: Griffel/Liniger/Rausch/ Thurnherr [éd.], Fachhandbuch Öffentliches Baurecht, 2016, n. 2.42; Thierry Tanquerel, Manuel de droit administratif, 2011, n. 851). La charge n'a pas d'influence directe sur la décision qu'elle grève, car elle n'est pas un élément nécessaire de celle-ci, mais seulement un complément. Comme la validité d'une charge est indépendante de celle de la décision principale, elle peut être contestée pour elle-même ( ATF 129 II 361 consid. 4.2 p. 370; Stalder/Tschirky, op. cit., n. 2.44; Thierry Tanquerel, op. cit., ibid.).</w:t>
      </w:r>
    </w:p>
    <w:p>
      <w:r>
        <w:t>Dans la mesure où une prestation étatique peut, si cela s'inscrit dans le cadre du pouvoir d'appréciation de l'autorité, être refusée, cette autorité doit aussi pouvoir assortir son octroi d'une charge. La doctrine estime qu'une telle charge n'a pas besoin d'être prévue par la loi. L'autorité peut ainsi, dans l'exercice de son pouvoir d'appréciation, créer des charges sans base légale, pour autant qu'elles respectent les autres principes constitutionnels, en particulier l'existence d'un intérêt public et le respect de la proportionnalité, et qu'elles entretiennent un certain rapport avec l'objet de la décision (Moor/Poltier, Droit administratif, volume II, 3</w:t>
      </w:r>
    </w:p>
    <w:p>
      <w:r>
        <w:t>e éd. 2011, p. 93; Thierry Tanquerel, op. cit., n. 854; Häfelin/Müller/Uhlmann, Allgemeines Verwaltungsrecht, 7</w:t>
      </w:r>
    </w:p>
    <w:p>
      <w:r>
        <w:t>e éd. 2016, n. 926; plus restrictif: Benoît Bovay, Procédure administrative, 2</w:t>
      </w:r>
    </w:p>
    <w:p>
      <w:r>
        <w:t>e éd. 2015, p. 367). Selon la jurisprudence, l'Etat ne peut pas imposer à une entreprise désireuse d'une aide de l'Etat d'adhérer préalablement à une convention collective de travail, car cela viole le principe de la proportionnalité, d'autres mesures étant envisageables pour atteindre le même but en ménageant la liberté d'association et la liberté contractuelle des entreprises intéressées ( ATF 124 I 107 consid. 4/c/cc p. 116). Plus récemment, le Tribunal fédéral a considéré que, à défaut de base légale, une autorisation de transformer une installation de stockage de carburant ne pouvait être assortie de la charge de constituer des servitudes foncières sur des parcelles voisines de celle des bénéficiaires de l'autorisation: la constitution de telles servitudes ne pouvait intervenir que sur une base volontaire et consensuelle des parties intéressées (arrêt 1A.14/2005 du 8 août 2006 consid. 7).</w:t>
      </w:r>
    </w:p>
    <w:p>
      <w:r>
        <w:rPr>
          <w:b/>
        </w:rPr>
        <w:t>E. 3.2</w:t>
      </w:r>
    </w:p>
    <w:p>
      <w:r>
        <w:t>Pour que la recourante puisse obtenir l'annulation de l'amende administrative à laquelle elle a été condamnée, il ne suffit pas d'établir l'irrégularité de la clause accessoire de constitution de servitude. Comme cette charge, en l'absence d'un recours dirigé contre elle, est entrée en force de chose décidée, il s'agit pour la recourante de démontrer qu'elle serait frappée d'une nullité absolue. Une telle nullité empêche en effet la clause litigieuse d'exister et peut être invoquée en tout temps devant toute autorité ayant à en connaître, y compris devant une autorité d'exécution de cette décision ( ATF 138 II 501 consid. 3.1 p. 503; arrêt du 4A_142/2016 du 25 novembre 2016 consid. 2.2, SJ 2017 I 275).</w:t>
      </w:r>
    </w:p>
    <w:p>
      <w:r>
        <w:t>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ainsi que l'incompétence qualifiée de l'autorité qui a rendu la décision sont des motifs de nullité ( ATF 138 II 501 consid. 3.1 p. 503).</w:t>
      </w:r>
    </w:p>
    <w:p>
      <w:r>
        <w:rPr>
          <w:b/>
        </w:rPr>
        <w:t>E. 3.3</w:t>
      </w:r>
    </w:p>
    <w:p>
      <w:r>
        <w:t>La cour cantonale a considéré que l'insertion d'une clause accessoire dans une autorisation de construire, telle celle litigieuse dans le cas d'espèce, ne nécessitait pas de base légale expresse. Elle a d'ailleurs ajouté qu'une telle base légale était inexistante en droit genevois. Cette dernière affirmation est mise à mal par les observations du Département devant le Tribunal fédéral, citant l'art. 13 al. 4 du règlement genevois d'application de la loi sur les constructions et les installations diverses du 27 février 1978 (RCI; RS/GE L 5 05.01) qui prévoit que l'autorité peut, dans le cadre de l'octroi d'une autorisation de construire, demander la constitution de servitudes. Point n'est cependant besoin d'approfondir cette question.</w:t>
      </w:r>
    </w:p>
    <w:p>
      <w:r>
        <w:t>Il n'est pas contesté que l'autorisation de construire assortie de la charge litigieuse a été délivrée par l'autorité compétente, à Genève le Département de l'aménagement, du logement et de l'énergie (art. 1 al. 6 de la loi genevoise sur les constructions et les installations diverses du 14 avril 1988 [LCI; RS/GE L 5 05]). Ce dernier a imposé à la requérante, pour un motif d'intérêt public en lien avec la création d'une allée destinée à la mobilité douce, la création d'une servitude de passage. Contrairement à ce qu'affirme la recourante, l'autorité n'a pas directement ordonné l'inscription d'une restriction de droit privé, mais a mis à la charge de la propriétaire d'en requérir l'inscription avant le début du chantier. Ce faisant, l'autorité n'a pas outrepassé ses compétences de manière manifeste et l'on ne saurait en tout cas parler d'incompétence qualifiée. Le grief de violation du principe de la légalité se confond avec celui lié à l'incompétence matérielle de l'autorité et aurait pu donner lieu, dans le meilleur des cas, à un contrôle juridictionnel dans le cadre de la voie ordinaire du recours contre la charge litigieuse (cf. arrêt 1A.14/2005 du 8 août 2006 consid. 7). Il en va de même pour la violation de la garantie de la propriété, critique qui relève uniquement du fond et qui n'a pas sa place dans l'examen de l'éventuelle nullité absolue d'une décision. Quant à la prétendue violation du principe de la proportionnalité, il s'agit aussi d'un vice de fond dont la recourante aurait pu saisir l'autorité de recours instituée par la loi (cf. ATF 124 I 107 consid. 4/c/cc p. 116).</w:t>
      </w:r>
    </w:p>
    <w:p>
      <w:r>
        <w:t>Il apparaît en définitive que les critiques que fait valoir la recourante contre la charge assortissant l'autorisation de construire dont elle a bénéficié auraient toutes pu être traitées dans un recours cantonal contre celle-ci. Le système d'annulabilité institué par la loi offrait toute la protection nécessaire et il n'y pas lieu de s'écarter du principe de la validité de l'autorisation entrée en force.</w:t>
      </w:r>
    </w:p>
    <w:p>
      <w:r>
        <w:rPr>
          <w:b/>
        </w:rPr>
        <w:t>E. 4</w:t>
      </w:r>
    </w:p>
    <w:p>
      <w:r>
        <w:t>Le recours doit par conséquent être rejeté, dans la mesure de sa recevabilité, aux frais de la recourante qui succombe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