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1C_472/2019 vom 15. Dezember 2020</w:t>
      </w:r>
    </w:p>
    <w:p>
      <w:r>
        <w:t>Bundesgericht, 2020-12-15, FR</w:t>
      </w:r>
    </w:p>
    <w:p>
      <w:r>
        <w:rPr>
          <w:b/>
        </w:rPr>
        <w:t xml:space="preserve">Quelle: </w:t>
      </w:r>
      <w:r>
        <w:t>https://mcp.opencaselaw.ch/entscheid/bger_1C_472_2019</w:t>
      </w:r>
    </w:p>
    <w:p>
      <w:r>
        <w:t>FR: TF 1C_472/2019 du 15 décembre 2020</w:t>
      </w:r>
    </w:p>
    <w:p>
      <w:r>
        <w:t>IT: TF 1C_472/2019 del 15 dicembre 2020</w:t>
      </w:r>
    </w:p>
    <w:p>
      <w:pPr>
        <w:pStyle w:val="Heading2"/>
      </w:pPr>
      <w:r>
        <w:t>Erwägungen</w:t>
      </w:r>
    </w:p>
    <w:p>
      <w:r>
        <w:rPr>
          <w:b/>
        </w:rPr>
        <w:t>E. 1</w:t>
      </w:r>
    </w:p>
    <w:p>
      <w:r>
        <w:t>Le Tribunal fédéral examine d'office la recevabilité des recours qui lui sont soumis (arrêt 1C_95/2017 du 24 mai 2017 consid. 1 non publié in ATF 143 II 495 ; ATF 141 II 113 consid. 1 p. 116).</w:t>
      </w:r>
    </w:p>
    <w:p>
      <w:r>
        <w:rPr>
          <w:b/>
        </w:rPr>
        <w:t>E. 1.1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rPr>
          <w:b/>
        </w:rPr>
        <w:t>E. 1.2</w:t>
      </w:r>
    </w:p>
    <w:p>
      <w:r>
        <w:t>En vertu de l' art. 89 al. 2 let . d LTF, ont qualité pour former un recours en matière de droit public les personnes, organisations et autorités auxquelles une autre loi fédérale accorde un droit de recours.</w:t>
      </w:r>
    </w:p>
    <w:p>
      <w:r>
        <w:rPr>
          <w:b/>
        </w:rPr>
        <w:t>E. 1.2.1</w:t>
      </w:r>
    </w:p>
    <w:p>
      <w:r>
        <w:t>L' art. 12 al. 1 let. b LPN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Helvetia Nostra est reconnue comme association d'importance nationale vouée à la protection de l'environnement, de la nature et du paysage (cf. ch. 9 de l'annexe à l'ordonnance relative à la désignation des organisations habilitées à recourir dans les domaines de la protection de l'environnement ainsi que de la protection de la nature et du paysage du 27 juin 1990 [ODO; RS 814.076]); à ce titre, elle bénéficie en principe de la qualité pour agir par la voie du recours en matière de droit public, dans la mesure où elle allègue que la décision litigieuse est susceptible de porter atteinte aux intérêts de la nature et du paysage ( art. 89 al. 2 let . d LTF en relation avec les dispositions des lois spéciales).</w:t>
      </w:r>
    </w:p>
    <w:p>
      <w:r>
        <w:t>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138 II 281 consid. 4.4 p. 287; 121 II 190 consid. 2c p. 196; 120 Ib 27 consid. 2c; arrêt 1C_636/2015 du 26 mai 2016 consid. 2.1, publié in DEP 2016 p. 597).</w:t>
      </w:r>
    </w:p>
    <w:p>
      <w:r>
        <w:rPr>
          <w:b/>
        </w:rPr>
        <w:t>E. 1.2.2</w:t>
      </w:r>
    </w:p>
    <w:p>
      <w:r>
        <w:t>Selon la jurisprudence, il incombe à la partie recourante d'alléguer, sous peine d'irrecevabilité, les faits qu'elle considère comme propres à fonder sa qualité pour agir, lorsqu'ils ne ressortent pas de façon évidente de la décision attaquée ou du dossier ( ATF 139 II 499 consid. 2.2 p. 504; arrêt 1C_554/2019 du 5 mai 2020).</w:t>
      </w:r>
    </w:p>
    <w:p>
      <w:r>
        <w:rPr>
          <w:b/>
        </w:rPr>
        <w:t>E. 1.3</w:t>
      </w:r>
    </w:p>
    <w:p>
      <w:r>
        <w:t>Forte de sa qualité d'association de protection de la nature et du paysage, la recourante fonde sa qualité pour recourir sur l' art. 75b Cst. et la LRS. Elle estime en substance que, compte tenu de son degré de précision, le PQ aurait dû être assimilé à un permis de construire; la question de l'affectation à la résidence secondaire des constructions possibles en application de ce plan aurait dès lors dû être examinée à ce stade déjà, ce dont elle serait légitimée à se plaindre.</w:t>
      </w:r>
    </w:p>
    <w:p>
      <w:r>
        <w:rPr>
          <w:b/>
        </w:rPr>
        <w:t>E. 1.3.1</w:t>
      </w:r>
    </w:p>
    <w:p>
      <w:r>
        <w:t>En lien avec les art. 89 al. 2 let . d LTF et 12 LPN, la jurisprudence reconnaît que la limitation des résidences secondaires représente une tâche de la Confédération tendant à protéger la nature et l'aspect caractéristique du paysage (cf. art. 2 LPN ). Les associations de défense de la nature et du paysage bénéficient ainsi de la qualité pour recourir contre les autorisations de construire pour violation de l' art. 75b Cst. et des dispositions de la LRS (cf. ATF 139 II 271 consid. 11.2-4 p. 277 s.; arrêt 1C_598/2019 du 19 juin 2020 consid. 1.2).</w:t>
      </w:r>
    </w:p>
    <w:p>
      <w:r>
        <w:rPr>
          <w:b/>
        </w:rPr>
        <w:t>E. 1.3.2</w:t>
      </w:r>
    </w:p>
    <w:p>
      <w:r>
        <w:t>Il n'est pas contesté que la proportion de résidences secondaires dépasse la limite de 20% dans la Commune de Montreux (cf. art. 1 LRS ; Géoportail fédéral: résidences secondaires, disponible à l'adresse www.are.admin.ch, consulté le 30 novembre 2020). Cependant, comme le soulignent tant la commune que la DGTL, la procédure ne porte en l'occurrence pas formellement sur la délivrance d'une autorisation de construire, mais sur l'adoption d'un plan d'affectation, plus spécifiquement un plan de quartier; cette adoption étant intervenue après le 11 mars 2012, on ne se trouve pas dans un cas d'application de l' art. 26 LRS , qui aurait légitimé Helvetia Nostra à agir. Matériellement, la réalisation de constructions en application du PQ suppose que certains éléments devront encore être fixés au stade ultérieur des autorisations de construire, à l'instar de la surface des bâtiments, de même que leur hauteur, le RPQ ne fixant à cet égard que des limites (cf. art. 2.3, 3.2 et 3.4 RPQ); le PQ et son règlement ne contiennent au surplus que des dispositions énonçant les principes valables s'agissant de l'aspect extérieur des constructions, le détail devant en être défini ultérieurement (cf. art. 4.1 RPQ et plans de coupe). Par ailleurs, au regard du droit cantonal, que la recourante ne discute au demeurant pas, il n'apparaît pas non plus que le PQ ait été élaboré pour valoir permis de construire, comme l'autorise le nouvel art. 28 de la loi cantonale sur l'aménagement du territoire et les constructions du 4 décembre 1985 (LATC; RS/VD 700.11), en vigueur depuis le 1</w:t>
      </w:r>
    </w:p>
    <w:p>
      <w:r>
        <w:t>er septembre 2018. Faute de disposition transitoire, celui-ci ne paraît d'ailleurs pas applicable au plan litigieux adopté antérieurement (cf. ATF 143 II 393 consid. 2.4 p. 398 s.; 139 II 243 consid. 11.1 p. 259); la recourante ne le soutient au demeurant pas. Elle ne prétend enfin pas non plus - pour peu que c'eût été pertinent - que le PQ se situerait dans un secteur excluant la résidence principale; comme l'a souligné la cour cantonale, sans être contredite, la Commune de Montreux est comprise dans le périmètre compact de l'agglomération Rivelac (cf. PDCn, mesure R14, p. 387 ss), et la parcelle n</w:t>
      </w:r>
    </w:p>
    <w:p>
      <w:r>
        <w:t>o 2018 se trouve dans la partie urbanisée du territoire communal destinée, selon l'arrêt attaqué, à être densifiée aux fins de l'habitation.</w:t>
      </w:r>
    </w:p>
    <w:p>
      <w:r>
        <w:rPr>
          <w:b/>
        </w:rPr>
        <w:t>E. 1.3.3</w:t>
      </w:r>
    </w:p>
    <w:p>
      <w:r>
        <w:t>Dans ces conditions, indépendamment du degré de précision du plan de quartier, la question de l'affectation à la résidence principale des constructions possibles en application du PQ apparaît prématurée, de sorte que la qualité pour recourir d'Helvetia Nostra ne peut lui être reconnue sur la base de l'application de la LRS.</w:t>
      </w:r>
    </w:p>
    <w:p>
      <w:r>
        <w:rPr>
          <w:b/>
        </w:rPr>
        <w:t>E. 1.4</w:t>
      </w:r>
    </w:p>
    <w:p>
      <w:r>
        <w:t>Bien que la recourante ne le fasse pas expressément valoir au stade de la recevabilité, on comprend, à la lecture de ses griefs de fond, qu'elle déduit également sa qualité pour recourir de l' art. 15 LAT , en tant que disposition consacrant l'accomplissement d'une tâche de la Confédération.</w:t>
      </w:r>
    </w:p>
    <w:p>
      <w:r>
        <w:rPr>
          <w:b/>
        </w:rPr>
        <w:t>E. 1.4.1</w:t>
      </w:r>
    </w:p>
    <w:p>
      <w:r>
        <w:t>Selon la jurisprudence, le nouveau classement en zone à bâtir relève d'une tâche fédérale: dans sa teneur entrée en vigueur le       1</w:t>
      </w:r>
    </w:p>
    <w:p>
      <w:r>
        <w:t>er mai 2014, l' art. 15 LAT est non seulement directement applicable, mais revêt en outre un caractère central en matière d'aménagement du territoire (cf. ATF 142 II 509 consid. 2.5 p. 515 et les références; arrêts 1C_598/2019 du 19 juin 2020 consid. 1.3; 1C_632/2018 du 16 avril 2020 consid. 1.2.2, non publié in ATF 146 II 289 ); il suffit donc qu'une association active au niveau national (cf. art. 12 al. 1 let. b LPN ) recoure contre un tel classement dans l'intérêt de la protection de la nature et du paysage pour lui conférer, en application de l' art. 12 LPN , la qualité pour recourir (cf. ATF 142 II 509 consid. 2.5 p. 516; arrêts 1C_598/2019 du 19 juin 2020 consid. 1.3; 1C_632/2018 du 16 avril 2020 consid. 1.2.2, non publié in ATF 146 II 289 ). En d'autres termes, les nouveaux classements, c'est-à-dire l'attribution d'une zone inconstructible à une zone constructible, peuvent faire l'objet de recours émanant d'organisations fondés sur l'article 12 LPN (arrêt 1C_632/2018 du 16 avril 2020 consid. 1.2.2, non publié in ATF 146 II 289 ).</w:t>
      </w:r>
    </w:p>
    <w:p>
      <w:r>
        <w:rPr>
          <w:b/>
        </w:rPr>
        <w:t>E. 1.4.2</w:t>
      </w:r>
    </w:p>
    <w:p>
      <w:r>
        <w:t>En l'occurrence, la recourante ne prétend pas que l'adoption du plan de quartier litigieux conduirait au classement en zone à bâtir d'une portion antérieurement inconstructible du territoire. Elle fait au contraire grief à cette planification de détail de s'écarter de l'ancien PGA 1972, tout comme du nPGA, en prévoyant une densité plus importante. Or, dans un tel contexte, l'adoption d'un plan spécial d'affectation ne relève pas d'une tâche fédérale au sens des art. 2 et 12 LPN , mais d'une tâche communale ou cantonale (cf. SAMUEL KISSLING, VLP-ASPAN, Inforum 1/2017, p. 6). Il en irait au demeurant de même si l'on devait considérer que l'ancien PGA 1972 était caduque (cf. arrêts 1C_361/2011 du 28 juin 2012 consid. 5.1; 1C_632/2018 du 16 avril 2020 consid. 4.3, non publié in ATF 146 II 289 ; voir également ATF 120 Ia 227 consid. 2c p. 233; arrêt 1C_231/2019 du 30 octobre 2020 consid. 2.3) au stade de la recevabilité, la recourante ne le fait d'ailleurs pas valoir. En effet, même dans cette hypothèse, le caractère constructible de la parcelle ne découlerait pas de l'adoption récente du PQ litigieux, mais déjà de son affectation opérée par le PEP 1981, comme cela ressort, à tout le moins implicitement, de l'arrêt attaqué; on ne saurait d'ailleurs nier - faute en particulier pour la recourante de le discuter - que le PEP 1981 bénéficie de la présomption de conformité, celui-ci ayant été adopté sous l'égide la LAT (cf. ATF 120 Ia 227 consid. 2c p. 233; voir également arrêt 1C_632/2018 du 16 avril 2020 consid. 4.3.1, non publié in ATF 146 II 289 ). Au stade de la recevabilité, la recourante ne prétend au demeurant pas non plus que l'on ne se trouverait pas dans une partie largement bâtie de l'agglomération au sens de l'ancien art. 15 LAT et de l' art. 36 al. 3 LAT (cf. arrêt 1C_231/2019 du 30 octobre 2020 consid. 2.3). Elle s'en prévaut certes au stade de ses ultimes observations en lien avec l'annulation du nPGA prononcée par le Tribunal fédéral le 16 avril 2020 (cf. arrêt 1C_632/2018); cependant, outre que son argumentation est à cet égard laconique et appellatoire, elle n'expose pas qu'il s'ensuivrait que l'adoption du PQ équivaudrait à un classement en zone à bâtir. La cour cantonale a au demeurant établi que la parcelle présentait une surface de 6'270 m² (inférieure à 1 ha; cf. arrêt 1C_361/2011 du 28 juin 2012 consid. 5.2.2 et l'arrêt cité), que le secteur était largement occupé par des villas; elle a également souligné la présence à proximité immédiate d'un périmètre fortement densifié avec des immeubles de plus de cinq étages, ainsi que celle, à moins de 300 m, d'un arrêt de bus régulièrement desservi. Quoi qu'il en soit, demeure encore le PEP 1981 dont la recourante ne prétend pas non plus, dans ses ultimes observations, qu'il ne bénéficierait pas de la présomption de conformité à la LAT. Aussi, faute de classement d'une parcelle anciennement inconstructible en zone à bâtir, l'adoption du PQ ne relève pas de l'accomplissement d'une tâche fédérale.</w:t>
      </w:r>
    </w:p>
    <w:p>
      <w:r>
        <w:rPr>
          <w:b/>
        </w:rPr>
        <w:t>E. 1.4.3</w:t>
      </w:r>
    </w:p>
    <w:p>
      <w:r>
        <w:t>Dans ces conditions, la qualité pour recourir ne saurait être reconnue en lien avec l'application de l' art. 15 LAT .</w:t>
      </w:r>
    </w:p>
    <w:p>
      <w:r>
        <w:rPr>
          <w:b/>
        </w:rPr>
        <w:t>E. 1.5</w:t>
      </w:r>
    </w:p>
    <w:p>
      <w:r>
        <w:t>La recourante ne prétend en outre pas non plus que la protection des corridors faunistiques présents dans le secteur relèverait de l'accomplissement d'une tâche fédérale. Sur le fond, elle ne se prévaut d'ailleurs à cet égard que d'arbitraire ( art. 9 Cst. ) et d'une violation de la législation sur l'aménagement du territoire. Elle ne rend pas vraisemblable que le PQ litigieux toucherait effectivement à l'application du droit matériel de la Confédération, plus particulièrement qu'il violerait les exigences de la LPN (cf. ATF 123 II 5 consid. 2c p. 7 s.); elle ne fournit en particulier aucune explication démontrant que ces corridors constitueraient des biotopes bénéficiant de la protection du droit fédéral (cf. art. 18 ss LPN ; sur la notion de biotope, cf. KARIN SIDI-ALI, La protection des biotopes en droit suisse, thèse 2008, p. 9 ss). Comme le souligne au demeurant l'OFEV, la recourante n'aborde cette problématique que de manière "peu précise".</w:t>
      </w:r>
    </w:p>
    <w:p>
      <w:r>
        <w:t>Il s'ensuit que la qualité pour agir ne peut pas non plus lui être reconnue à ce titre.</w:t>
      </w:r>
    </w:p>
    <w:p>
      <w:r>
        <w:rPr>
          <w:b/>
        </w:rPr>
        <w:t>E. 1.6</w:t>
      </w:r>
    </w:p>
    <w:p>
      <w:r>
        <w:t>Enfin et bien qu'elle ne s'en prévale pas directement en lien avec la recevabilité de son pourvoi, la recourante fonde encore sa qualité pour recourir sur l' art. 5 LPN , plus particulièrement sur le classement de la parcelle n</w:t>
      </w:r>
    </w:p>
    <w:p>
      <w:r>
        <w:t>o 2018 à l'ISOS.</w:t>
      </w:r>
    </w:p>
    <w:p>
      <w:r>
        <w:t>La seule présence d'un objet ISOS au sein du périmètre d'un plan de détail n'implique toutefois pas que l'adoption de ce dernier relève de l'accomplissement d'une tâche de la Confédération (cf. ATF 121 II 190 consid. 3c/bb p. 197), étant rappelé que tant l'aménagement du territoire (cf. art. 75 al. 1 Cst. ) que la protection du patrimoine sont en principe du ressort des cantons (cf. art. 78 al. 1 Cst. ; cf. JEAN-BAPTISTE ZUFFEREY, in Commentaire LPN, 2</w:t>
      </w:r>
    </w:p>
    <w:p>
      <w:r>
        <w:t>e éd. 2019, n. 33 ad art. 2 LPN ). La protection stricte prévue par l' art. 6 al. 2 LPN pour les objets inscrits à l'inventaire n'est d'ailleurs qu'indirecte: sa mise en oeuvre n'intervient qu'en cas d'accomplissement d'une tâche de la Confédération (cf. THIERRY LARGEY, La protection du patrimoine bâti, in RDAF 2012 I p. 281, p. 295 s.), à l'instar - à titre d'exemple - de l'autorisation d'ériger une antenne de téléphonie mobile dans un périmètre inventorié (cf. arrêt 1C_360/2009 du 3 août 2010 consid. 3.1). Or, en l'occurrence, pour les motifs exposés précédemment, il n'apparaît pas que l'adoption du PQ litigieux entraîne la réalisation d'une tâche fédérale; elle n'implique en particulier pas une mise en zone à bâtir (cf. consid. 1.4 ci-dessus; à ce sujet, voir également ZUFFEREY, op. cit., n. 33 ad art. 2 LPN ). A cela s'ajoute, quoi qu'il en soit, comme l'a indiqué en cours de procédure l'OFC, sans être contredit, que la parcelle n</w:t>
      </w:r>
    </w:p>
    <w:p>
      <w:r>
        <w:t>o 2018 n'est pas comprise dans la version actuelle de l'ISOS, mise à jour en automne 2015.</w:t>
      </w:r>
    </w:p>
    <w:p>
      <w:r>
        <w:t>Dans ces circonstances, c'est à tort que la recourante déduit sa qualité pour agir de l' art. 5 LPN , plus particulièrement de la présence d'un objet inventorié à l'ISOS.</w:t>
      </w:r>
    </w:p>
    <w:p>
      <w:r>
        <w:rPr>
          <w:b/>
        </w:rPr>
        <w:t>E. 1.7</w:t>
      </w:r>
    </w:p>
    <w:p>
      <w:r>
        <w:t>En définitive, pour les motifs qui précèdent, le recours doit être déclaré irrecevable, aux frais de la recourante ( art. 66 al. 1 LTF ). La commune,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