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1C_472/2018 vom 25. März 2019</w:t>
      </w:r>
    </w:p>
    <w:p>
      <w:r>
        <w:t>Bundesgericht, 2019-03-25, FR</w:t>
      </w:r>
    </w:p>
    <w:p>
      <w:r>
        <w:rPr>
          <w:b/>
        </w:rPr>
        <w:t xml:space="preserve">Quelle: </w:t>
      </w:r>
      <w:r>
        <w:t>https://mcp.opencaselaw.ch/entscheid/bger_1C_472_2018</w:t>
      </w:r>
    </w:p>
    <w:p>
      <w:r>
        <w:t>FR: TF 1C_472/2018 du 25 mars 2019</w:t>
      </w:r>
    </w:p>
    <w:p>
      <w:r>
        <w:t>IT: TF 1C_472/2018 del 25 marzo 2019</w:t>
      </w:r>
    </w:p>
    <w:p>
      <w:pPr>
        <w:pStyle w:val="Heading2"/>
      </w:pPr>
      <w:r>
        <w:t>Erwägungen</w:t>
      </w:r>
    </w:p>
    <w:p>
      <w:r>
        <w:rPr>
          <w:b/>
        </w:rPr>
        <w:t>E. 1</w:t>
      </w:r>
    </w:p>
    <w:p>
      <w:r>
        <w:t>La voie du recours en matière de droit public est ouverte à l'encontre des actes normatifs cantonaux ( art. 82 let. b LTF ). Lorsque le droit cantonal prévoit un recours dans ce domaine, l' art. 86 LTF est applicable ( art. 87 al. 2 LTF ) et le Tribunal fédéral ne statue qu'après épuisement des instances cantonales, en l'occurrence la Cour de justice. Le recourant peut alors conclure à l'annulation non seulement de la décision de dernière instance cantonale, mais aussi de l'acte normatif litigieux ( ATF 141 I 36 consid. 1.2.2 p. 40).</w:t>
      </w:r>
    </w:p>
    <w:p>
      <w:r>
        <w:rPr>
          <w:b/>
        </w:rPr>
        <w:t>E. 1.1</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Quant à l'intérêt digne de protection, il n'est pas nécessaire qu'il soit de nature juridique, un intérêt de fait étant suffisant ( ATF 141 I 78 consid. 3.1 p. 81).</w:t>
      </w:r>
    </w:p>
    <w:p>
      <w:r>
        <w:t>En l'occurrence, le recourant loue à Genève un logement qu'il pourrait souhaiter sous-louer plus de soixante (ou nonante) jours par année par le biais d'une plate-forme de location. Il est ainsi susceptible de se voir appliquer un jour l'art. 4a RDTR. Cela suffit pour admettre sa qualité pour agir.</w:t>
      </w:r>
    </w:p>
    <w:p>
      <w:r>
        <w:rPr>
          <w:b/>
        </w:rPr>
        <w:t>E. 1.2</w:t>
      </w:r>
    </w:p>
    <w:p>
      <w:r>
        <w:t>Conformément à l' art. 42 al. 1 et 2 LTF , les motifs du recours doivent exposer succinctement en quoi la décision attaquée viole le droit.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Les exigences en matière de motivation prévues par l' art. 42 al. 2 LTF et celles, plus strictes, de l' art. 106 al. 2 LTF , valent aussi pour les recours dirigés contre les actes normatifs cantonaux. Conformément au principe d'allégation, le Tribunal fédéral n'examine la violation de droits fondamentaux que si ce grief a été invoqué et motivé par le recourant. Dans ce cas, l'acte de recours doit, sous peine d'irrecevabilité, contenir un exposé succinct des droits et principes constitutionnels violés et préciser en quoi consiste la violation ( ATF 143 I 1 consid. 1.4 p. 5).</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140 I 2 consid. 4 p. 14).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143 I 1 consid. 2.3 p. 6).</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et les arrêts cités).</w:t>
      </w:r>
    </w:p>
    <w:p>
      <w:r>
        <w:rPr>
          <w:b/>
        </w:rPr>
        <w:t>E. 3</w:t>
      </w:r>
    </w:p>
    <w:p>
      <w:r>
        <w:t>Dans un premier grief, le recourant reproche sommairement à la Cour de justice d'avoir interprété l'art. 4a RDTR à la lumière du "compte-rendu du point presse du 7 mai 2017 du Conseil d'Etat publié dans un journal".</w:t>
      </w:r>
    </w:p>
    <w:p>
      <w:r>
        <w:t>Fût-elle suffisamment motivée et recevable (voir consid. 1.2 supra), cette critique serait rejetée. En effet, l'article de presse cité par la Cour de justice relate la conférence de presse donnée par le Conseil d'Etat le 7 mars 2018 (et non le 7 mai 2017) lors de l'adoption de l'art. 4A RDTR. Les explications de l'autorité cantonale sur la manière dont elle applique ou envisage d'appliquer la disposition mise en cause doivent être prises en considération dans le cadre d'un contrôle abstrait de celle-ci ( ATF 140 I 2 consid. 4 p. 14). En présence d'une norme de rang réglementaire, dont les travaux préparatoires ne sont pas publiés, il apparaît admissible, dans le cadre d'une interprétation téléologique et historique, de rechercher l'intention de son rédacteur sur la base de comptes rendus d'une conférence de presse. Le compte rendu du point presse du 7 mars 2018 se trouve d'ailleurs aussi sur le site Internet de l'Etat de Genève.</w:t>
      </w:r>
    </w:p>
    <w:p>
      <w:r>
        <w:rPr>
          <w:b/>
        </w:rPr>
        <w:t>E. 4</w:t>
      </w:r>
    </w:p>
    <w:p>
      <w:r>
        <w:t>Le recourant se plaint ensuite, de façon tout aussi laconique, d'une violation du principe de la légalité. Il critique le raisonnement de l'instance précédente qui, tout en relevant que "la norme attaquée n'avait pas une densité normative optimale", a considéré qu'elle pouvait s'appliquer de manière prévisible et répondre ainsi aux exigences de la densité normative. Le recourant se borne cependant à affirmer, de manière appellatoire, que "pareille technique législative est dangereuse et inacceptable dans un état de droit". Ce grief ne répond manifestement pas aux exigences de motivation, imposant à la partie recourante de discuter au moins brièvement les considérants de la décision litigieuse (voir consid. 1.2 supra). Il doit être déclaré irrecevable.</w:t>
      </w:r>
    </w:p>
    <w:p>
      <w:r>
        <w:rPr>
          <w:b/>
        </w:rPr>
        <w:t>E. 5</w:t>
      </w:r>
    </w:p>
    <w:p>
      <w:r>
        <w:t>Très succinctement, le recourant fait encore grief à l'instance précédente d'avoir retenu que le Conseil d'Etat disposait de la compétence pour édicter la norme litigieuse. Fût-il recevable (voir infra consid. 1.2), le grief devrait être rejeté pour les motifs suivants.</w:t>
      </w:r>
    </w:p>
    <w:p>
      <w:r>
        <w:rPr>
          <w:b/>
        </w:rPr>
        <w:t>E. 5.1</w:t>
      </w:r>
    </w:p>
    <w:p>
      <w:r>
        <w:t>Comme le prévoit l' art. 109 al. 4 Cst./GE , le Conseil d'Etat est chargé d'édicter les règlements d'exécution des lois adoptées par le Grand Conseil. Ceux-ci ne peuvent contenir que des règles secondaires, qui ne font que préciser ce qui se trouve déjà dans la loi ( ATF 134 I 322 consid. 2.4 p. 327 et les références). Le Conseil d'Etat peut aussi, bien que cela ne soit pas expressément prévu par la constitution cantonale, adopter des ordonnances de substitution dépendantes, lorsque le législateur le met au bénéfice d'une délégation législative (cf., en droit fédéral, l' art. 164 al. 2 Cst. ); celle-ci doit notamment figurer dans une loi au sens formel, et le cadre de la délégation, qui doit être clairement défini, ne doit pas être dépassé. Les règles les plus importantes doivent en tout cas figurer dans la loi ( ATF 134 I 322 consid. 2.4 p. 327 les arrêts cités).</w:t>
      </w:r>
    </w:p>
    <w:p>
      <w:r>
        <w:rPr>
          <w:b/>
        </w:rPr>
        <w:t>E. 5.2</w:t>
      </w:r>
    </w:p>
    <w:p>
      <w:r>
        <w:t>A bon droit, la Cour de justice a qualifié l'art. 4A RDTR de norme secondaire, qui précise et détaille la portée de l'art. 7 LDTR, qui interdit de manière générale les changements d'affectation. L'art. 3 al. 3 LDTR définit quant à lui le "changement d'affectation", par toute modification, même en l'absence de travaux, qui a pour effet de remplacer des locaux à destination de logements par des locaux à usage commercial, administratif, artisanal ou industriel; sont également assimilés à des changements d'affectation le remplacement de locaux à destination de logements par des résidences meublées ou des hôtels (let. a).</w:t>
      </w:r>
    </w:p>
    <w:p>
      <w:r>
        <w:t>Le Conseil d'Etat a précisé la notion de "résidence meublée" dans l'art. 4 RDTR. De même, il dispose de la compétence d'adopter l'art. 4A RDTR qui apporte des précisions relatives à l'utilisation des logements mis à disposition au travers de plates-formes de location. L'art. 4A RDTR n'introduit aucune nouvelle interdiction, contrairement à ce qu'affirme le recourant, mais se limite à préciser la notion de changement d'affectation telle qu'elle découle déjà de la LDTR, s'agissant de la mise à disposition de logements pour un hébergement de courte durée moyennant rémunération.</w:t>
      </w:r>
    </w:p>
    <w:p>
      <w:r>
        <w:rPr>
          <w:b/>
        </w:rPr>
        <w:t>E. 6</w:t>
      </w:r>
    </w:p>
    <w:p>
      <w:r>
        <w:t>Le recourant soutient enfin que l'atteinte à la liberté économique ( art. 27 Cst. ) portée par la disposition litigieuse ne respecterait pas le principe de la proportionnalité. Il affirme que la version de l'art. 4A RDTR telle qu'elle ressort de l'arrêt attaqué, soit avec l'augmentation de 90 jours par an de la durée admissible de la location ne serait plus apte à atteindre le but visé de lutter contre la soustraction de logements du marché locatif.</w:t>
      </w:r>
    </w:p>
    <w:p>
      <w:r>
        <w:rPr>
          <w:b/>
        </w:rPr>
        <w:t>E. 6.1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6.2</w:t>
      </w:r>
    </w:p>
    <w:p>
      <w:r>
        <w:t>L'instance précédente a d'abord jugé qu'une limitation du nombre annuel de jours de location d'un logement par le biais d'une plate-forme d'hébergement était propre à la fois à respecter le souhait légitime du propriétaire ou du bailleur de valoriser son appartement durant un temps limité (en particulier pendant que lui-même n'en a pas l'utilisation en cas de résidence principale), et à éviter que son logement soit soustrait au marché de l'habitation pour tomber dans celui de la résidence meublée. Elle a ensuite considéré qu'au regard de l'intérêt public poursuivi de maintien du parc locatif, cela ne représentait pas une atteinte déraisonnable aux intérêts des propriétaires ou bailleurs desdits logements que de n'avoir que pour un nombre de jours limité le droit de fournir les prestations de services d'hébergement s'offrant de façon caractéristique par le biais des plates-formes de location. La Cour de justice a cependant estimé en substance que le nombre de 60 jours fixé par l'art. 4A RDTR ne satisfaisait pas aux exigences de nécessité et de principe de la proportionnalité au sens étroit. Elle a jugé qu'une location pour plus de 60 jours n'excluait pas le maintien d'une affectation de logement (cas du retraité, de l'indépendant ou de l'étudiant qui passent plus de temps en vacances ou à l'étranger, sans pour autant cesser d'occuper le logement comme tel, ou encore de la personne devant effectuer plusieurs séjours hospitaliers) et que la limite de 90 jours portait moins atteinte aux intérêts des parties prenantes à ce type d'opérations tout en permettant d'atteindre le but visé de lutte contre la pénurie de logements.</w:t>
      </w:r>
    </w:p>
    <w:p>
      <w:r>
        <w:t>Face à ce raisonnement, le recourant fait valoir qu'offrir à la location un studio sur une plate-forme de type Airbnb pendant 90 jours par an, tout en le laissant inoccupé le reste du temps, serait plus rentable que de le louer pendant une année selon les modalités ordinaires, soit à un prix moins élevé, de sorte que l'art. 4A RDTR ne remplirait pas son but. Il paraît paradoxal que le recourant formule un tel grief puisqu'il vient remettre en cause l'admission partielle obtenue devant l'instance précédente. Quoi qu'il en soit, les captures d'écran du site Internet www.airbnb.com proposant des locations de studio à Genève, produites auprès du Tribunal fédéral à l'appui de son affirmation, sont des pièces nouvelles et par conséquent irrecevables ( art. 99 al. 1 LTF ). Cela étant, le recourant ne fait pas la démonstration, sur la base des faits résultant du dossier, que la décision attaquée ne respecterait pas le principe de la proportionnalité. Le grief de la violation du principe de la proportionnalité doit dès lors être déclaré irrecevable, sans qu'il y ait lieu d'examiner si les informations statistiques établies par l'Etat de Genève sur le niveau des loyers à Genève en 2017, aussi annexées au recours, doivent être considérées comme des faits notoires (cf. ATF 143 IV 380 consid. 1.1 p. 383 s.; arrêt 1C_91/2018 du 29 janvier 2019 consid. 2.1).</w:t>
      </w:r>
    </w:p>
    <w:p>
      <w:r>
        <w:rPr>
          <w:b/>
        </w:rPr>
        <w:t>E. 7</w:t>
      </w:r>
    </w:p>
    <w:p>
      <w:r>
        <w:t>Il s'ensuit que le recours est irrecevable.</w:t>
      </w:r>
    </w:p>
    <w:p>
      <w:r>
        <w:t>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