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472/2011 vom 22. Dezember 2011</w:t>
      </w:r>
    </w:p>
    <w:p>
      <w:r>
        <w:t>Bundesgericht, 2011-12-22, FR</w:t>
      </w:r>
    </w:p>
    <w:p>
      <w:r>
        <w:rPr>
          <w:b/>
        </w:rPr>
        <w:t xml:space="preserve">Quelle: </w:t>
      </w:r>
      <w:r>
        <w:t>https://mcp.opencaselaw.ch/entscheid/bger_1C_472_2011</w:t>
      </w:r>
    </w:p>
    <w:p>
      <w:r>
        <w:t>FR: TF 1C 472/2011 du 22 décembre 2011</w:t>
      </w:r>
    </w:p>
    <w:p>
      <w:r>
        <w:t>IT: TF 1C 472/2011 del 22 dicembre 2011</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et reproche au Tribunal administratif fédéral d'avoir abusé de son pouvoir d'appréciation dans l'examen des éléments fondant le retrait de la naturalisation et d'avoir ainsi rendu une décision arbitraire, contraire au but de la loi fédérale du 29 septembre 1952 sur l'acquisition et la perte de la nationalité suisse (LN; RS 141.0).</w:t>
      </w:r>
    </w:p>
    <w:p>
      <w:r>
        <w:rPr>
          <w:b/>
        </w:rPr>
        <w:t>E. 2.1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2.1.2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2.1.3</w:t>
      </w:r>
    </w:p>
    <w:p>
      <w:r>
        <w:t>En l'espèce, le Tribunal administratif fédéral a considéré que le laps de temps relativement court entre la déclaration commune (novembre 2006), l'octroi de la naturalisation facilitée (décembre 2006), le dépôt de la requête commune en divorce (juillet 2008) et le jugement de divorce (novembre 2008) fondait la présomption que le couple n'envisageait déjà plus une vie future partagée lors de la signature de la déclaration commune et que la naturalisation facilitée avait été obtenue frauduleusement. Pour l'instance précédente, cette présomption était renforcée par l'absence de descendance commune et les divergences d'opinions politico-religieuses, qui étaient une source à tout le moins latente de conflit entre les époux au moment de la naturalisation du recourant. S'ajoutaient à cela la grande différence d'âge entre les ex-époux et les conditions dans lesquelles le mariage s'était conclu, à savoir pour permettre d'obtenir une autorisation de séjour au conjoint étranger. Contrairement à ce que soutient le recourant, la présomption précitée peut être admise compte tenu de l'enchaînement rapide des événements. 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2.1.4</w:t>
      </w:r>
    </w:p>
    <w:p>
      <w:r>
        <w:t>Le recourant n'avance aucun élément probant susceptible d'expliquer une soudaine dégradation du lien conjugal dix-huit mois après l'octroi de la naturalisation. Il se contente de reprocher au Tribunal administratif fédéral de n'avoir instruit qu'à charge et d'avoir écarté les témoignages des époux, lesquels ont notamment déclaré qu'au moment de la signature de la déclaration commune, ils vivaient "parfaitement bien", que leur couple était solide même pendant les moments douloureux et que le recourant n'avait pas changé de comportement suite à la naturalisation. Ces allégations ne sont toutefois pas, à elles seules, à même de prouver l'existence d'une véritable communauté conjugale au moment de la signature de la déclaration commune: elles ne sont du reste pas de nature à expliquer la fin subite de la vie d'un couple marié depuis près de neuf ans. Le recourant semble aussi faire grief à l'instance précédente d'avoir constaté que l'absence de descendance commune était une source à tout le moins latente de conflit. Il souligne à cet égard que les époux avaient pris conscience avant la conclusion du mariage du fait que B.________ aurait pu avoir des difficultés à rester enceinte, mais que, dès que celle-ci était tombée enceinte pour la première fois en 2002, le couple avait légitimement nourri l'espoir que peut-être ils auraient des enfants. L'intéressé précise qu'ils avaient même consulté un médecin en vue d'entamer une cure hormonale en Belgique qu'ils ont abandonnée par la suite, faute de moyens financiers. Les arguments à l'appui du grief du recourant tendent plutôt à renforcer la constatation opérée par le Tribunal administratif fédéral et ne démontrent pas à tout le moins que cet élément n'était pas une source de tension. Par ailleurs, il ne ressort pas de l'arrêt attaqué que la présence d'enfants dans un couple serait l'élément qui définit la notion de mariage ou de communauté conjugale, ainsi que le dénonce le recourant. Le recourant affirme également que les discussions autour de la religion ou la politique n'ont pas posé un frein à l'épanouissement du couple, son ex-épouse ayant un père musulman et respectant sa religion. Cet élément ne peut être retenu car il est contredit par la déclaration de l'ex-épouse faisant état que la confrontation régulière avec les informations "politico-religieuses post 11 septembre" avait posé problème "à la longue" et était devenue pesante pour elle. De même, l'ex-épouse a déclaré qu'ils ne partageaient pas assez de moments ensemble, de sorte que l'argument avancé par le recourant tendant à relever que le couple passait toutes les vacances ensemble, notamment au Maroc pour rendre visite à leurs familles ne suffit pas à renverser la présomption. Le recourant explique encore qu'en l'absence d'enfant et chacun travaillant, il paraissait logique, également au regard de l'économie de procédure, que les conjoints optent directement pour la procédure de divorce sans officialiser au préalable une séparation ou sans mettre en oeuvre des mesures protectrices de l'union conjugale. Cet élément n'est pas pertinent, puisqu'il ne permet pas d'établir qu'au moment de la signature de la déclaration commune, l'harmonie existait toujours au sein du couple au point d'envisager la continuation de la vie commune. Il en va de même du fait que l'ex-épouse a été soutenue par les membres de sa belle-famille durant les moments difficiles causés par ses fausses couches. Le recourant n'a en outre fait entendre aucun témoin, produit aucune pièce qui aurait permis de se prononcer sur l'intensité du lien conjugal existant entre les époux durant la période déterminante. Enfin, le fait - dont se prévaut le recourant - que la vie commune du couple a duré près de onze ans est sans pertinence pour l'examen de la question de savoir s'il y a eu obtention frauduleuse de naturalisation au sens de l' art. 41 LN au moment déterminant, vu la jurisprudence susmentionnée.</w:t>
      </w:r>
    </w:p>
    <w:p>
      <w:r>
        <w:rPr>
          <w:b/>
        </w:rPr>
        <w:t>E. 2.1.5</w:t>
      </w:r>
    </w:p>
    <w:p>
      <w:r>
        <w:t>En définitive, même si certains des arguments mentionnés par l'instance précédente - ainsi la différence d'âge entre les époux - ne sont pas pertinents, les éléments avancés par le recourant ne suffisent pas à renverser la présomption établie. Il en découle que les conditions d'application de l' art. 41 LN sont réunies et que le Tribunal administratif fédéral n'a pas abusé de son pouvoir d'appréciation et n'a pas versé dans l'arbitraire en confirmant l'annulation de la naturalisation facilitée qui avait été octroyée au recourant.</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