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471/2022 vom 15. September 2022</w:t>
      </w:r>
    </w:p>
    <w:p>
      <w:r>
        <w:t>Bundesgericht, 2022-09-15, FR</w:t>
      </w:r>
    </w:p>
    <w:p>
      <w:r>
        <w:rPr>
          <w:b/>
        </w:rPr>
        <w:t xml:space="preserve">Quelle: </w:t>
      </w:r>
      <w:r>
        <w:t>https://mcp.opencaselaw.ch/entscheid/bger_1C_471_2022</w:t>
      </w:r>
    </w:p>
    <w:p>
      <w:r>
        <w:t>FR: TF 1C 471/2022 du 15 septembre 2022</w:t>
      </w:r>
    </w:p>
    <w:p>
      <w:r>
        <w:t>IT: TF 1C 471/2022 del 15 settembre 2022</w:t>
      </w:r>
    </w:p>
    <w:p>
      <w:pPr>
        <w:pStyle w:val="Heading2"/>
      </w:pPr>
      <w:r>
        <w:t>Regeste</w:t>
      </w:r>
    </w:p>
    <w:p>
      <w:r>
        <w:t>Entraide judiciaire internationale en matière pénale au Royaume-Uni | Entraide et extradition</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1.1</w:t>
      </w:r>
    </w:p>
    <w:p>
      <w:r>
        <w:t>La présente espèce porte certes sur la transmission de documents bancaires, soit des renseignements touchant le domaine secret. Toutefois, compte tenu des faits à l'origine de la demande (des infractions dépourvues de caractère politique ou fiscal) et de la nature de la transmission envisagée (limitée à la documentation relative à six comptes bancaires), le cas ne revêt en soi aucune importance particulière. Les recourants estiment que la procédure concernerait une affaire politiquement sensible avec un retentissement médiatique important. Ils se contentent d'évoquer que l'une des personnes impliquées serait un proche de l'ancien président congolais, sans toutefois prétendre que ce dernier serait directement impliqué. Cela ne suffit pas pour faire de la présente cause une affaire particulièrement importante. En effet, les infractions poursuivies sont des délits de droit commun et il n'est pas prétendu que la procédure pénale ouverte au Royaume-Uni poursuivrait un quelconque but caché de nature politique (cf. arrêt 1C_615/2018 du 26 novembre 2018 consid. 1.4, concernant la même procédure d'entraide judiciaire).</w:t>
      </w:r>
    </w:p>
    <w:p>
      <w:r>
        <w:rPr>
          <w:b/>
        </w:rPr>
        <w:t>E. 1.2</w:t>
      </w:r>
    </w:p>
    <w:p>
      <w:r>
        <w:t>Comme principal motif d'entrée en matière, les recourants relèvent qu'en vertu d'un jugement rendu le 16 mai 2022 par la High Court of Justice, Business and Property Courts of England and Wales, la demande d'entraide judiciaire serait entachée de défauts graves au sens de l'art. 2 let. a et d EIMP. Il en ressortirait en effet que lors de rencontres et d'entretiens téléphoniques non autorisés avec le directeur du SFO, le mandataire de G.________ aurait fourni, en violation de son secret professionnel, des données confidentielles ayant servi à relancer les soupçons à l'encontre de la société. La Cour des plaintes a considéré que l'autorité suisse d'entraide n'avait pas à s'interroger sur la validité des preuves recueillies dans l'Etat requérant. Cette appréciation est conforme à la jurisprudence constante selon laquelle les griefs relatifs à la validité des preuves doivent être soumis au juge du fond et ne peuvent être soulevés sous l'angle de l' art. 2 EIMP (arrêts 1C_586/2017 du 30 octobre 2017 consid. 1.3; 1A.10/2007 du 3 juillet 2007 consid. 2.2), ainsi qu'à la réglementation sur l'entraide qui veut que les preuves en question ne soient ni produites, ni même mentionnées à l'appui de la demande d'entraide ( art. 14 CEEJ et 28 al. 2 EIMP; arrêt 1C_425/2018 du 8 octobre 2018 consid. 1.4). A l'égard d'un Etat partie à la CEDH et bénéficiant d'une présomption de respect des garanties qui en découlent, les recourants disposent d'une protection juridictionnelle suffisante devant les instances nationales et internationales, comme en atteste apparemment la décision de justice qu'ils produisent à l'appui de leurs allégations.</w:t>
      </w:r>
    </w:p>
    <w:p>
      <w:r>
        <w:rPr>
          <w:b/>
        </w:rPr>
        <w:t>E. 1.3</w:t>
      </w:r>
    </w:p>
    <w:p>
      <w:r>
        <w:t>Pour le surplus, les autres griefs soulevés par les recourants (soit la question de la motivation de la demande d'entraide - qui n'a d'ailleurs pas été examinée dans l'arrêt attaqué -, celle de la proportionnalité et la violation alléguée du droit d'être entendu) ne sont pas présentés comme des motifs d'entrée en matière. Il n'y a donc pas lieu de les examiner sous cet angle.</w:t>
      </w:r>
    </w:p>
    <w:p>
      <w:r>
        <w:rPr>
          <w:b/>
        </w:rPr>
        <w:t>E. 2</w:t>
      </w:r>
    </w:p>
    <w:p>
      <w:r>
        <w:t>Sur le vu de ce qui précède, le recours est irrecevable. Conformément à l' art. 66 al. 1 LTF , les frais judiciaires sont mis à la charge solidaire des recourants qui succombent.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