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1C_471/2008 vom 28. November 2008</w:t>
      </w:r>
    </w:p>
    <w:p>
      <w:r>
        <w:t>Bundesgericht, 2008-11-28, FR</w:t>
      </w:r>
    </w:p>
    <w:p>
      <w:r>
        <w:rPr>
          <w:b/>
        </w:rPr>
        <w:t xml:space="preserve">Quelle: </w:t>
      </w:r>
      <w:r>
        <w:t>https://mcp.opencaselaw.ch/entscheid/bger_1C_471_2008</w:t>
      </w:r>
    </w:p>
    <w:p>
      <w:r>
        <w:t>FR: TF 1C_471/2008 du 28 novembre 2008</w:t>
      </w:r>
    </w:p>
    <w:p>
      <w:r>
        <w:t>IT: TF 1C_471/2008 del 28 novembre 2008</w:t>
      </w:r>
    </w:p>
    <w:p>
      <w:pPr>
        <w:pStyle w:val="Heading2"/>
      </w:pPr>
      <w:r>
        <w:t>Erwägungen</w:t>
      </w:r>
    </w:p>
    <w:p>
      <w:r>
        <w:rPr>
          <w:b/>
        </w:rPr>
        <w:t>E. 1</w:t>
      </w:r>
    </w:p>
    <w:p>
      <w:r>
        <w:t>Les conclusions du recours concernent uniquement la détention extraditionnelle, qui ne fait pas directement l'objet de l'arrêt attaqué. On comprend toutefois aisément que le recourant entend remettre en cause son extradition, telle qu'elle est confirmée par le TPF. Le fait que ses conclusions soient mal formulées ne prête donc pas à conséquence.</w:t>
      </w:r>
    </w:p>
    <w:p>
      <w:r>
        <w:rPr>
          <w:b/>
        </w:rPr>
        <w:t>E. 2</w:t>
      </w:r>
    </w:p>
    <w:p>
      <w:r>
        <w:t>Selon l' art. 84 al. 1 LTF , le recours est recevable, à l'encontre d'un arrêt du Tribunal pénal fédéral en matière d'extradition, pour autant qu'il s'agisse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exigences sont satisfaites. Le but de l' art. 84 LTF n'est pas d'assurer systématiquement un double degré de juridiction, mais de limiter fortement l'accès au Tribunal fédéral dans les domaines de l'entraide judiciaire et de l'extradition, en ne permettant de recourir que dans un nombre limité de cas jugés particulièrement importants ( ATF 133 IV 125 , 129, 131, 132 et les références citées).</w:t>
      </w:r>
    </w:p>
    <w:p>
      <w:r>
        <w:rPr>
          <w:b/>
        </w:rPr>
        <w:t>E. 2.1</w:t>
      </w:r>
    </w:p>
    <w:p>
      <w:r>
        <w:t>Le recourant invoque les art. 2 et 37 al. 1 EIMP , ainsi que l'interdiction de l'arbitraire ( art. 9 al. 1 Cst. ). Il évoque son incarcération dans une affaire précédente en Ukraine, durant laquelle il aurait été torturé à plusieurs reprises. Il estime que les assurances diplomatiques ne permettraient pas de contourner l'interdiction de renvoyer une personne vers un lieu où il existe un risque réel de traitement contraire aux droits de l'homme; ces assurances seraient dépourvues d'effet juridique contraignant; les mécanismes de contrôle seraient inefficaces; les victimes n'auraient aucune possibilité d'agir juridiquement, et les visites en prison ne seraient pas effectuées par des spécialistes.</w:t>
      </w:r>
    </w:p>
    <w:p>
      <w:r>
        <w:rPr>
          <w:b/>
        </w:rPr>
        <w:t>E. 2.2</w:t>
      </w:r>
    </w:p>
    <w:p>
      <w:r>
        <w:t>Le TPF n'a pas méconnu qu'il existe, dans l'Etat requérant, des risques de violation des principes fondamentaux concernant notamment la condition des détenus. Il a toutefois considéré que les garanties obtenues de la part de l'Etat requérant étaient propres à prévenir un traitement contraire aux droits de l'homme, en se référant au dernier arrêt rendu par le Tribunal fédéral sur cette question ( ATF 134 IV 156 ). En dépit des critiques de la doctrine, le Tribunal fédéral a considéré que les garanties diplomatiques constituaient en général un moyen efficace d'assurer aux personnes extradées un traitement conforme à la CEDH , en dehors de cas particuliers (appartenance à un groupe social déterminé particulièrement menacé, répression de caractère politique; arrêt précité, consid. 6.8 et 6.11) pour lesquels l'extradition devrait de toute façon être refusée en application des art. 2 let. b et c et 3 EIMP.</w:t>
      </w:r>
    </w:p>
    <w:p>
      <w:r>
        <w:t>Dans les deux cas récents où la Suisse a accordé l'extradition à l'Ukraine (arrêts 1C_301/2007 du 2 octobre 2007 et 1C_224/2008 du 30 mai 2008), moyennant des garanties analogues, aucun mauvais traitement n'a été rapporté, alors qu'un droit de regard avait été reconnu à la représentation suisse ainsi que, dans le dernier cas, aux proches de la personne extradée. Le seul cas dans lequel un Etat requérant n'a pas respecté les garanties posées par la Suisse à l'extradition concernent l'Inde; il ne s'agissait pas de traitements prohibés par l' art. 3 CEDH , mais d'une violation du principe de célérité. Ce cas isolé ne saurait remettre en cause la pratique des assurances diplomatiques ( ATF 134 IV 156 consid. 6.12).</w:t>
      </w:r>
    </w:p>
    <w:p>
      <w:r>
        <w:rPr>
          <w:b/>
        </w:rPr>
        <w:t>E. 2.3</w:t>
      </w:r>
    </w:p>
    <w:p>
      <w:r>
        <w:t>Comme l'a relevé la Cour des plaintes, le recourant se prévaut en vain de la résolution 1547 de l'Assemblée parlementaire du Conseil de l'Europe, laquelle se rapporte au cas spécifique de la lutte contre le terrorisme. Le recourant prétend que l'Etat requérant tenterait d'obtenir son extradition "par tous les moyens pour des raisons qui semblent pour le moins obscures". Le recourant n'avance toutefois pas la moindre explication sur les raisons réelles pour lesquelles il serait, selon lui, recherché. Il apparaît au contraire que les délits poursuivis sont de pures infractions de droit commun; qu'il s'agisse d'une querelle familiale n'enlève rien à leur caractère pénal.</w:t>
      </w:r>
    </w:p>
    <w:p>
      <w:r>
        <w:rPr>
          <w:b/>
        </w:rPr>
        <w:t>E. 2.4</w:t>
      </w:r>
    </w:p>
    <w:p>
      <w:r>
        <w:t>Les conditions posées à l'extradition par l'OFJ, et confirmées par le TPF, correspondent donc strictement à la jurisprudence actuelle. Il apparaît ainsi que, compte tenu des assurances exigées de la part de l'Etat requérant, il n'y a pas de raison de supposer que la procédure à l'étranger violera les principes fondamentaux ou comportera d'autres vices graves au sens de l' art. 84 al. 2 LTF . L'intervention d'une seconde instance judiciaire ne se justifie donc pas.</w:t>
      </w:r>
    </w:p>
    <w:p>
      <w:r>
        <w:rPr>
          <w:b/>
        </w:rPr>
        <w:t>E. 3</w:t>
      </w:r>
    </w:p>
    <w:p>
      <w:r>
        <w:t>Le recours est par conséquent déclaré irrecevable, selon la procédure de l' art. 109 al. 1 LTF . Le recourant a demandé l'assistance judiciaire, et les conditions en sont réunies; Me de Riedmatten est désigné comme avocat d'office du recourant, rétribué par la caisse du Tribunal fédéral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